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2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CRA INTERNATIONAL, INC.</w:t>
      </w:r>
    </w:p>
    <w:p>
      <w:pPr>
        <w:pStyle w:val="TextBody"/>
        <w:bidi w:val="0"/>
        <w:spacing w:lineRule="auto" w:line="288" w:before="0" w:after="120"/>
        <w:jc w:val="center"/>
        <w:rPr/>
      </w:pPr>
      <w:r>
        <w:rPr>
          <w:color w:val="000000"/>
        </w:rPr>
        <w:t> </w:t>
      </w: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18" w:type="dxa"/>
        <w:jc w:val="center"/>
        <w:tblInd w:w="0" w:type="dxa"/>
        <w:tblLayout w:type="fixed"/>
        <w:tblCellMar>
          <w:top w:w="28" w:type="dxa"/>
          <w:left w:w="28" w:type="dxa"/>
          <w:bottom w:w="28" w:type="dxa"/>
          <w:right w:w="28" w:type="dxa"/>
        </w:tblCellMar>
      </w:tblPr>
      <w:tblGrid>
        <w:gridCol w:w="124"/>
        <w:gridCol w:w="109"/>
        <w:gridCol w:w="109"/>
        <w:gridCol w:w="554"/>
        <w:gridCol w:w="554"/>
        <w:gridCol w:w="556"/>
        <w:gridCol w:w="294"/>
        <w:gridCol w:w="294"/>
        <w:gridCol w:w="298"/>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Massachusetts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000-24049</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04-2372210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(State or other jurisdiction </w:t>
              <w:br/>
              <w:t>of incorporation)</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(Commission</w:t>
              <w:br/>
              <w:t> file number)</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(IRS employer </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07" w:type="dxa"/>
        <w:jc w:val="center"/>
        <w:tblInd w:w="0" w:type="dxa"/>
        <w:tblLayout w:type="fixed"/>
        <w:tblCellMar>
          <w:top w:w="28" w:type="dxa"/>
          <w:left w:w="28" w:type="dxa"/>
          <w:bottom w:w="28" w:type="dxa"/>
          <w:right w:w="28" w:type="dxa"/>
        </w:tblCellMar>
      </w:tblPr>
      <w:tblGrid>
        <w:gridCol w:w="124"/>
        <w:gridCol w:w="109"/>
        <w:gridCol w:w="109"/>
        <w:gridCol w:w="594"/>
        <w:gridCol w:w="594"/>
        <w:gridCol w:w="596"/>
        <w:gridCol w:w="229"/>
        <w:gridCol w:w="229"/>
        <w:gridCol w:w="231"/>
        <w:gridCol w:w="410"/>
        <w:gridCol w:w="410"/>
        <w:gridCol w:w="411"/>
        <w:gridCol w:w="229"/>
        <w:gridCol w:w="229"/>
        <w:gridCol w:w="2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200 Clarendon Street,</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Boston,</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Massachusetts</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02116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96" w:type="dxa"/>
        <w:jc w:val="center"/>
        <w:tblInd w:w="0" w:type="dxa"/>
        <w:tblLayout w:type="fixed"/>
        <w:tblCellMar>
          <w:top w:w="28" w:type="dxa"/>
          <w:left w:w="28" w:type="dxa"/>
          <w:bottom w:w="28" w:type="dxa"/>
          <w:right w:w="28" w:type="dxa"/>
        </w:tblCellMar>
      </w:tblPr>
      <w:tblGrid>
        <w:gridCol w:w="124"/>
        <w:gridCol w:w="109"/>
        <w:gridCol w:w="109"/>
        <w:gridCol w:w="1243"/>
        <w:gridCol w:w="1243"/>
        <w:gridCol w:w="1248"/>
        <w:gridCol w:w="164"/>
        <w:gridCol w:w="164"/>
        <w:gridCol w:w="166"/>
        <w:gridCol w:w="284"/>
        <w:gridCol w:w="284"/>
        <w:gridCol w:w="2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(617)</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425-3000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40" w:type="dxa"/>
        <w:jc w:val="left"/>
        <w:tblInd w:w="0" w:type="dxa"/>
        <w:tblLayout w:type="fixed"/>
        <w:tblCellMar>
          <w:top w:w="28" w:type="dxa"/>
          <w:left w:w="28" w:type="dxa"/>
          <w:bottom w:w="28" w:type="dxa"/>
          <w:right w:w="28" w:type="dxa"/>
        </w:tblCellMar>
      </w:tblPr>
      <w:tblGrid>
        <w:gridCol w:w="124"/>
        <w:gridCol w:w="109"/>
        <w:gridCol w:w="109"/>
        <w:gridCol w:w="723"/>
        <w:gridCol w:w="723"/>
        <w:gridCol w:w="728"/>
        <w:gridCol w:w="109"/>
        <w:gridCol w:w="109"/>
        <w:gridCol w:w="109"/>
        <w:gridCol w:w="454"/>
        <w:gridCol w:w="454"/>
        <w:gridCol w:w="456"/>
        <w:gridCol w:w="109"/>
        <w:gridCol w:w="109"/>
        <w:gridCol w:w="109"/>
        <w:gridCol w:w="1143"/>
        <w:gridCol w:w="1143"/>
        <w:gridCol w:w="114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6, 2026, we issued a press release reporting our financial results for our fiscal quarter ended July 4, 2026. A copy of the press release is set forth as Exhibit 99.1 and is incorporated by reference herein. On August 6, 2026, we also posted on our website supplemental financial information, including prepared CFO remarks. A copy of the supplemental financial information is set forth as Exhibit 99.2 and incorporated by reference herein.</w:t>
      </w:r>
    </w:p>
    <w:p>
      <w:pPr>
        <w:pStyle w:val="TextBody"/>
        <w:bidi w:val="0"/>
        <w:spacing w:lineRule="auto" w:line="26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report and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6, 2026, we announced that our Board of Directors declared a quarterly cash dividend on our common stock of $0.57 per share to be paid on September 14, 2026 to all shareholders of record as of August 25, 2026. A copy of the press release is set forth as Exhibit 99.3 and is incorporated by reference herein. On August 6, 2026, we also announced an increase and extension to our existing credit facility with a bank syndicate comprised of six lenders. A copy of the refinancing press release is set forth as Exhibit 99.4 and is incorporated by reference herein.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7.01 of this report, Exhibit 99.3 and Exhibit 99.4 attached hereto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19" w:type="dxa"/>
        <w:jc w:val="left"/>
        <w:tblInd w:w="0" w:type="dxa"/>
        <w:tblLayout w:type="fixed"/>
        <w:tblCellMar>
          <w:top w:w="28" w:type="dxa"/>
          <w:left w:w="28" w:type="dxa"/>
          <w:bottom w:w="28" w:type="dxa"/>
          <w:right w:w="28" w:type="dxa"/>
        </w:tblCellMar>
      </w:tblPr>
      <w:tblGrid>
        <w:gridCol w:w="124"/>
        <w:gridCol w:w="109"/>
        <w:gridCol w:w="109"/>
        <w:gridCol w:w="250"/>
        <w:gridCol w:w="250"/>
        <w:gridCol w:w="251"/>
        <w:gridCol w:w="109"/>
        <w:gridCol w:w="109"/>
        <w:gridCol w:w="109"/>
        <w:gridCol w:w="1922"/>
        <w:gridCol w:w="1922"/>
        <w:gridCol w:w="2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aiq2-20268xkexx991xpress.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aiq2-20268xkexx991xpress.htm">
              <w:r>
                <w:rPr>
                  <w:rStyle w:val="InternetLink"/>
                  <w:rFonts w:ascii="Times New Roman;serif" w:hAnsi="Times New Roman;serif"/>
                  <w:b w:val="false"/>
                  <w:color w:val="0000FF"/>
                  <w:sz w:val="20"/>
                  <w:u w:val="single"/>
                </w:rPr>
                <w:t>August 6, 2026 earnings press release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aiq2-20268xkexx992xcfore.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aiq2-20268xkexx992xcfore.htm">
              <w:r>
                <w:rPr>
                  <w:rStyle w:val="InternetLink"/>
                  <w:rFonts w:ascii="Times New Roman;serif" w:hAnsi="Times New Roman;serif"/>
                  <w:b w:val="false"/>
                  <w:color w:val="0000FF"/>
                  <w:sz w:val="20"/>
                  <w:u w:val="single"/>
                </w:rPr>
                <w:t>Supplemental financial information (prepared CFO remarks)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aiq2-20268xkexx993xdivid.htm">
              <w:r>
                <w:rPr>
                  <w:rStyle w:val="InternetLink"/>
                  <w:rFonts w:ascii="Times New Roman;serif" w:hAnsi="Times New Roman;serif"/>
                  <w:b w:val="false"/>
                  <w:color w:val="0000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aiq2-20268xkexx993xdivid.htm">
              <w:r>
                <w:rPr>
                  <w:rStyle w:val="InternetLink"/>
                  <w:rFonts w:ascii="Times New Roman;serif" w:hAnsi="Times New Roman;serif"/>
                  <w:b w:val="false"/>
                  <w:color w:val="0000FF"/>
                  <w:sz w:val="20"/>
                  <w:u w:val="single"/>
                </w:rPr>
                <w:t>August 6, 2026 dividend press release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ai-refinancingannounceme.htm">
              <w:r>
                <w:rPr>
                  <w:rStyle w:val="InternetLink"/>
                  <w:rFonts w:ascii="Times New Roman;serif" w:hAnsi="Times New Roman;serif"/>
                  <w:b w:val="false"/>
                  <w:color w:val="0000FF"/>
                  <w:sz w:val="20"/>
                  <w:u w:val="single"/>
                </w:rPr>
                <w:t>99.4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ai-refinancingannounceme.htm">
              <w:r>
                <w:rPr>
                  <w:rStyle w:val="InternetLink"/>
                  <w:rFonts w:ascii="Times New Roman;serif" w:hAnsi="Times New Roman;serif"/>
                  <w:b w:val="false"/>
                  <w:color w:val="0000FF"/>
                  <w:sz w:val="20"/>
                  <w:u w:val="single"/>
                </w:rPr>
                <w:t>August 6, 2026 refinancing press release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 </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605" w:type="dxa"/>
        <w:jc w:val="left"/>
        <w:tblInd w:w="0" w:type="dxa"/>
        <w:tblLayout w:type="fixed"/>
        <w:tblCellMar>
          <w:top w:w="28" w:type="dxa"/>
          <w:left w:w="28" w:type="dxa"/>
          <w:bottom w:w="28" w:type="dxa"/>
          <w:right w:w="28" w:type="dxa"/>
        </w:tblCellMar>
      </w:tblPr>
      <w:tblGrid>
        <w:gridCol w:w="705"/>
        <w:gridCol w:w="619"/>
        <w:gridCol w:w="625"/>
        <w:gridCol w:w="424"/>
        <w:gridCol w:w="424"/>
        <w:gridCol w:w="424"/>
        <w:gridCol w:w="1568"/>
        <w:gridCol w:w="1568"/>
        <w:gridCol w:w="224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CRA INTERNATIONAL,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ERIC NIERENBERG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Eric Nierenberg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tbl>
      <w:tblPr>
        <w:tblW w:w="5169" w:type="dxa"/>
        <w:jc w:val="left"/>
        <w:tblInd w:w="0" w:type="dxa"/>
        <w:tblLayout w:type="fixed"/>
        <w:tblCellMar>
          <w:top w:w="28" w:type="dxa"/>
          <w:left w:w="28" w:type="dxa"/>
          <w:bottom w:w="28" w:type="dxa"/>
          <w:right w:w="28" w:type="dxa"/>
        </w:tblCellMar>
      </w:tblPr>
      <w:tblGrid>
        <w:gridCol w:w="769"/>
        <w:gridCol w:w="676"/>
        <w:gridCol w:w="684"/>
        <w:gridCol w:w="109"/>
        <w:gridCol w:w="109"/>
        <w:gridCol w:w="109"/>
        <w:gridCol w:w="779"/>
        <w:gridCol w:w="779"/>
        <w:gridCol w:w="783"/>
        <w:gridCol w:w="109"/>
        <w:gridCol w:w="109"/>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Nierenberg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Manganaro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River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Sharon Merrill Advisors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investor@crai.com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crai@investorrelations.com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617-425-3020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617-542-5300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ASSOCIATES (CRA) REPORTS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RESULTS FOR THE SECOND QUARTER OF 2026</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Record Revenue Drives Company’s Best-Ever Second Quarter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Company Increases Revenue Guidance and Reaffirms Profit Margin Guidance for Full-Year Fiscal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BOSTON, August 6, 2026 – Charles River Associates (NASDAQ: CRAI), a worldwide leader in providing economic, financial and management consulting services, today announced financial results for the fiscal second quarter ended July 4, 2026.</w:t>
      </w:r>
    </w:p>
    <w:p>
      <w:pPr>
        <w:pStyle w:val="TextBody"/>
        <w:bidi w:val="0"/>
        <w:spacing w:before="0" w:after="0"/>
        <w:jc w:val="center"/>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Continued momentum in the business and demand for our services drove CRA’s quarterly revenue to $210.8 million, representing 12.8% year-over-year growth,” said Paul Maleh, CRA’s President and Chief Executive Officer. “This record top-line performance translated into the highest second quarter profits in the company’s history as measured by net income, earnings per diluted share and EBITDA.”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Broad-based contributions fueled the quarter’s strong performance, with eight practices growing year over year. Six practices—Energy, Finance, Forensic Services, Intellectual Property, Life Sciences, and Risk, Investigations &amp; Analytics—posted double-digit revenue growth, while the Antitrust &amp; Competition Economics practice posted a new high for quarterly revenue. This strong practice performance reflected contributions across our portfolio, with Legal &amp; Regulatory offerings growing 10.1% year over year and Management Consulting services increasing 25.5%. We also expanded across our geographies, with North American operations increasing revenue by 8.7% and international operations growing 32.9% year over year.”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Highlights for Second Quarter Fiscal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Revenue grew 12.8% year over year to $210.8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Utilization was 77% and quarter-end headcount increased 3.3% year over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income increased 11.4% year over year to $13.5 million, or 6.4% of revenue, compared with $12.1 million, or 6.5% of revenue, in the second quarter of fiscal 2025; non-GAAP net income increased 9.0% year over year to $13.9 million, or 6.6% of revenue, compared with $12.7 million, or 6.8% of revenue, in the second quarter of fiscal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Earnings per diluted share increased 17.3% year over year to $2.10 from $1.79 in the second quarter of fiscal 2025; non-GAAP earnings per diluted share increased 14.9% year over year to $2.16 from $1.88 in the second quarter of fiscal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Non-GAAP EBITDA increased 15.3% to $26.8 million, or 12.7% of revenue, compared with $23.3 million, or 12.4% of revenue, in the second quarter of fiscal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On a constant currency basis relative to the second quarter of fiscal 2025, revenue would have been lower by $0.4 million, while GAAP net income, and earnings per diluted share would have remained unchanged. Non-GAAP net income would have been lower by $0.1 million, while non-GAAP earnings per diluted share and non-GAAP EBITDA would have remained unchanged.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CRA returned $31.4 million of capital to its shareholders, consisting of $3.6 million of dividend payments and $27.8 million for share repurchases of approximately 193,000 shares at an average price of $144 per share.</w:t>
      </w:r>
    </w:p>
    <w:p>
      <w:pPr>
        <w:pStyle w:val="TextBody"/>
        <w:bidi w:val="0"/>
        <w:spacing w:lineRule="auto" w:line="288" w:before="120" w:after="200"/>
        <w:jc w:val="left"/>
        <w:rPr>
          <w:rFonts w:ascii="Times New Roman;serif" w:hAnsi="Times New Roman;serif"/>
          <w:b/>
          <w:color w:val="000000"/>
          <w:sz w:val="20"/>
        </w:rPr>
      </w:pPr>
      <w:r>
        <w:rPr>
          <w:rFonts w:ascii="Times New Roman;serif" w:hAnsi="Times New Roman;serif"/>
          <w:b/>
          <w:color w:val="000000"/>
          <w:sz w:val="20"/>
        </w:rPr>
        <w:t>Management Commentary and Financial Guidance</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 xml:space="preserve">Through the first two quarters of fiscal 2026, on a constant currency basis relative to fiscal 2025, CRA generated total revenue of $408.8 million and non-GAAP EBITDA of $49.7 million, achieving a margin of 12.2%. These revenue and profit dollars represent the highest first-half performance in CRA’s history,” said Maleh. “Reflecting the strong start to the year, we are raising our revenue guidance and reaffirming our profit margin guidance. For full-year fiscal 2026, on a constant currency basis relative to fiscal 2025, we expect revenue in the range of $805 million to $820 million and non-GAAP EBITDA margin in the range of 12.0% to 13.0%. This new revenue guidance compares with a prior range of $785 million to $805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We expect that the constant currency adjustment will decrease CRA’s reported annual revenue by approximately $2.5 million and will decrease CRA’s reported annual EBITDA by less than $250,000 for fiscal 2026. As previously reported, non-cash forgivable loan amortization, which is reflected as an expense when presenting EBITDA metrics, is expected to increase in fiscal 2026 by approximately $15 million, reflecting investments in talent to drive profitable growth. Finally, as a reminder, fiscal 2026 returns to CRA’s typical 52-week year, whereas fiscal 2025 contained an extra week in the fourth quarter and resulted in a 53-week year. We are encouraged by the strong start to the year, and by supportive market trends, and a continued replenishing of our sales pipeline. Of course, we remain mindful that evolving geopolitical, global macroeconomic, and business conditions can affect our business.”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CRA does not provide reconciliations of its annual non-GAAP EBITDA margin guidance to GAAP net income margin because the Company is unable to estimate with reasonable certainty and without unreasonable effort: (i) unusual gains or charges, foreign currency exchange rates and the resulting effect of these items on CRA’s taxes and (ii) the impact of equity awards on CRA’s taxes. These items are uncertain, depend on various factors, and may have a material effect on CRA’s results computed in accordance with GAAP. A reconciliation between the historical GAAP and non-GAAP financial measures presented in this press release is provided in the financial tables at the end of this press release.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Credit Facility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CRA announced the successful refinancing to increase and extend its existing credit facility as it approached the final year before maturity. The expanded facility will run for five years with an aggregate principal amount of up to $400 million, consisting of a $75 million term loan and a $325 million revolving credit facility. The revolving credit facility includes a seasonal flex that provides CRA with the option to reduce the facility by $75 million during periods when working capital demands are typically lower.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Quarterly Dividend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August 6, 2026, CRA announced a quarterly cash dividend of $0.57 per common share, payable on September 14, 2026 to shareholders of record as of August 25, 2026. CRA expects to continue paying quarterly dividends, the declaration, timing and amounts of which remain subject to the discretion of CRA’s Board of Directors.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Conference Call Information and Prepared CFO Remarks </w:t>
      </w:r>
    </w:p>
    <w:p>
      <w:pPr>
        <w:pStyle w:val="TextBody"/>
        <w:bidi w:val="0"/>
        <w:spacing w:lineRule="auto" w:line="288" w:before="0" w:after="200"/>
        <w:jc w:val="left"/>
        <w:rPr/>
      </w:pPr>
      <w:r>
        <w:rPr>
          <w:rFonts w:ascii="Times New Roman;serif" w:hAnsi="Times New Roman;serif"/>
          <w:b w:val="false"/>
          <w:color w:val="000000"/>
          <w:sz w:val="20"/>
        </w:rPr>
        <w:t>CRA will host a conference call today at 10:00 a.m. ET to discuss its second-quarter 2026 financial results. To listen to the live call, please visit the “</w:t>
      </w:r>
      <w:r>
        <w:rPr>
          <w:rFonts w:ascii="Times New Roman;serif" w:hAnsi="Times New Roman;serif"/>
          <w:b w:val="false"/>
          <w:color w:val="000000"/>
          <w:sz w:val="20"/>
          <w:u w:val="single"/>
        </w:rPr>
        <w:t>Investor Relations</w:t>
      </w:r>
      <w:r>
        <w:rPr>
          <w:color w:val="000000"/>
        </w:rPr>
        <w:t xml:space="preserve">” </w:t>
      </w:r>
      <w:r>
        <w:rPr>
          <w:rFonts w:ascii="Times New Roman;serif" w:hAnsi="Times New Roman;serif"/>
          <w:b w:val="false"/>
          <w:color w:val="000000"/>
          <w:sz w:val="20"/>
        </w:rPr>
        <w:t xml:space="preserve">section of CRA’s website at </w:t>
      </w:r>
      <w:r>
        <w:rPr>
          <w:rFonts w:ascii="Times New Roman;serif" w:hAnsi="Times New Roman;serif"/>
          <w:b w:val="false"/>
          <w:color w:val="000000"/>
          <w:sz w:val="20"/>
          <w:u w:val="single"/>
        </w:rPr>
        <w:t>http://www.crai.com</w:t>
      </w:r>
      <w:r>
        <w:rPr>
          <w:rFonts w:ascii="Times New Roman;serif" w:hAnsi="Times New Roman;serif"/>
          <w:b w:val="false"/>
          <w:color w:val="000000"/>
          <w:sz w:val="20"/>
        </w:rPr>
        <w:t xml:space="preserve">, or dial (877) 709-8155 or (201) 689-8881. An </w:t>
      </w:r>
      <w:r>
        <w:rPr>
          <w:rFonts w:ascii="Times New Roman;serif" w:hAnsi="Times New Roman;serif"/>
          <w:b w:val="false"/>
          <w:color w:val="000000"/>
          <w:sz w:val="20"/>
          <w:u w:val="single"/>
        </w:rPr>
        <w:t xml:space="preserve">archived </w:t>
      </w:r>
      <w:r>
        <w:rPr>
          <w:rFonts w:ascii="Times New Roman;serif" w:hAnsi="Times New Roman;serif"/>
          <w:b w:val="false"/>
          <w:color w:val="000000"/>
          <w:sz w:val="20"/>
        </w:rPr>
        <w:t>version of the webcast will be available on CRA’s website for one year.</w:t>
      </w:r>
    </w:p>
    <w:p>
      <w:pPr>
        <w:pStyle w:val="TextBody"/>
        <w:bidi w:val="0"/>
        <w:spacing w:lineRule="auto" w:line="288" w:before="0" w:after="200"/>
        <w:jc w:val="left"/>
        <w:rPr/>
      </w:pPr>
      <w:r>
        <w:rPr>
          <w:rFonts w:ascii="Times New Roman;serif" w:hAnsi="Times New Roman;serif"/>
          <w:b w:val="false"/>
          <w:color w:val="000000"/>
          <w:sz w:val="20"/>
        </w:rPr>
        <w:t>In combination with this press release, CRA has posted prepared remarks by its CFO, Eric Nierenberg, under “Quarterly Earnings” in the “</w:t>
      </w:r>
      <w:r>
        <w:rPr>
          <w:rFonts w:ascii="Times New Roman;serif" w:hAnsi="Times New Roman;serif"/>
          <w:b w:val="false"/>
          <w:color w:val="000000"/>
          <w:sz w:val="20"/>
          <w:u w:val="single"/>
        </w:rPr>
        <w:t>Investor Relations</w:t>
      </w:r>
      <w:r>
        <w:rPr>
          <w:color w:val="000000"/>
        </w:rPr>
        <w:t xml:space="preserve">” </w:t>
      </w:r>
      <w:r>
        <w:rPr>
          <w:rFonts w:ascii="Times New Roman;serif" w:hAnsi="Times New Roman;serif"/>
          <w:b w:val="false"/>
          <w:color w:val="000000"/>
          <w:sz w:val="20"/>
        </w:rPr>
        <w:t xml:space="preserve">section on CRA’s website at </w:t>
      </w:r>
      <w:r>
        <w:rPr>
          <w:rFonts w:ascii="Times New Roman;serif" w:hAnsi="Times New Roman;serif"/>
          <w:b w:val="false"/>
          <w:color w:val="000000"/>
          <w:sz w:val="20"/>
          <w:u w:val="single"/>
        </w:rPr>
        <w:t>http://www.crai.com</w:t>
      </w:r>
      <w:r>
        <w:rPr>
          <w:rFonts w:ascii="Times New Roman;serif" w:hAnsi="Times New Roman;serif"/>
          <w:b w:val="false"/>
          <w:color w:val="000000"/>
          <w:sz w:val="20"/>
        </w:rPr>
        <w:t>. These remarks are offered each quarter to provide the investment community with additional background on CRA’s financial results prior to the start of the conference call.</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About Charles River Associates (CRA)</w:t>
      </w:r>
    </w:p>
    <w:p>
      <w:pPr>
        <w:pStyle w:val="TextBody"/>
        <w:bidi w:val="0"/>
        <w:spacing w:lineRule="auto" w:line="276" w:before="0" w:after="200"/>
        <w:jc w:val="left"/>
        <w:rPr/>
      </w:pPr>
      <w:r>
        <w:rPr>
          <w:rFonts w:ascii="Times New Roman;serif" w:hAnsi="Times New Roman;serif"/>
          <w:b w:val="false"/>
          <w:color w:val="000000"/>
          <w:sz w:val="20"/>
        </w:rPr>
        <w:t xml:space="preserve">Charles River Associates® is a leading global consulting firm specializing in </w:t>
      </w:r>
      <w:r>
        <w:rPr>
          <w:rFonts w:ascii="Times New Roman;serif" w:hAnsi="Times New Roman;serif"/>
          <w:b w:val="false"/>
          <w:color w:val="000000"/>
          <w:sz w:val="20"/>
          <w:u w:val="single"/>
        </w:rPr>
        <w:t>economic, financial, and management consulting services</w:t>
      </w:r>
      <w:r>
        <w:rPr>
          <w:rFonts w:ascii="Times New Roman;serif" w:hAnsi="Times New Roman;serif"/>
          <w:b w:val="false"/>
          <w:color w:val="000000"/>
          <w:sz w:val="20"/>
        </w:rPr>
        <w:t xml:space="preserve">. CRA advises clients on economic and financial matters pertaining to litigation and regulatory proceedings, and guides corporations through critical business strategy and performance-related issues. Since 1965, clients have engaged CRA for its unique combination of functional expertise and industry knowledge, and for its objective solutions to complex problems. Headquartered in Boston, CRA has offices throughout the world. Detailed information about Charles River Associates, a registered trade name of CRA International, Inc., is available at </w:t>
      </w:r>
      <w:r>
        <w:rPr>
          <w:rFonts w:ascii="Times New Roman;serif" w:hAnsi="Times New Roman;serif"/>
          <w:b w:val="false"/>
          <w:color w:val="000000"/>
          <w:sz w:val="20"/>
          <w:u w:val="single"/>
        </w:rPr>
        <w:t>www.crai.com</w:t>
      </w:r>
      <w:r>
        <w:rPr>
          <w:rFonts w:ascii="Times New Roman;serif" w:hAnsi="Times New Roman;serif"/>
          <w:b w:val="false"/>
          <w:color w:val="000000"/>
          <w:sz w:val="20"/>
        </w:rPr>
        <w:t xml:space="preserve">. Follow us on </w:t>
      </w:r>
      <w:r>
        <w:rPr>
          <w:rFonts w:ascii="Times New Roman;serif" w:hAnsi="Times New Roman;serif"/>
          <w:b w:val="false"/>
          <w:color w:val="000000"/>
          <w:sz w:val="20"/>
          <w:u w:val="single"/>
        </w:rPr>
        <w:t>LinkedIn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Instagram</w:t>
      </w:r>
      <w:r>
        <w:rPr>
          <w:rFonts w:ascii="Times New Roman;serif" w:hAnsi="Times New Roman;serif"/>
          <w:b w:val="false"/>
          <w:color w:val="000000"/>
          <w:sz w:val="20"/>
        </w:rPr>
        <w:t xml:space="preserve">, and </w:t>
      </w:r>
      <w:r>
        <w:rPr>
          <w:rFonts w:ascii="Times New Roman;serif" w:hAnsi="Times New Roman;serif"/>
          <w:b w:val="false"/>
          <w:color w:val="000000"/>
          <w:sz w:val="20"/>
          <w:u w:val="single"/>
        </w:rPr>
        <w:t>Facebook</w:t>
      </w:r>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this press release, CRA has supplemented the presentation of its financial results calculated in accordance with U.S. generally accepted accounting principles or “GAAP” with the following financial measures that are not calculated in accordance with GAAP: non</w:t>
        <w:noBreakHyphen/>
        <w:t>GAAP net income, non</w:t>
        <w:noBreakHyphen/>
        <w:t>GAAP earnings per diluted share, non</w:t>
        <w:noBreakHyphen/>
        <w:t>GAAP EBITDA and non-GAAP EBITDA margin. CRA believes that the non-GAAP financial measures described in this press release are important to management and investors because these measures supplement the understanding of CRA’s ongoing operating results and financial condition. In addition, these non-GAAP measures are used by CRA in its budgeting process, and the non-GAAP adjustments are made to the performance measures for some of CRA’s performance-based compensation.</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As used herein, CRA defines non-GAAP EBITDA as net income before interest expense (net), provision for income taxes, and depreciation and amortization further adjusted for the impact of certain items that we do not consider indicative of our core operating performance, such as non-cash amounts relating to valuation changes in contingent consideration, acquisition-related costs, foreign currency (gains) losses, net, restructuring costs and related tax effects. Non-GAAP net income and non-GAAP earnings per diluted share also exclude non-cash amounts relating to valuation changes in contingent consideration, acquisition-related costs,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currency (gains) losses, net, restructuring costs and related tax effects. This press release also presents certain current fiscal period financial measures on a “constant currency” basis in order to isolate the effect that foreign currency exchange rate fluctuations can have on CRA’s financial results. These constant currency measures are determined by recalculating the current fiscal period local currency financial measure using the specified corresponding prior fiscal period’s foreign exchange rates. On a constant currency basis for the fiscal year-to-date period ended July 4, 2026 relative to the fiscal year-to-date period ended June 28, 2025, revenue and non-GAAP EBITDA would have been lower by $3.0 million and $0.3 million, respectively.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of the non-GAAP financial measures referred to above should be considered in conjunction with, and not as a substitute for, the GAAP financial information presented in this press release. The financial measures identified in this press release as “non-GAAP” are reconciled to their GAAP comparable measures in the financial tables appended to the end of this press release. In evaluating these non-GAAP financial measures, note that the non-GAAP financial measures used by CRA may be calculated differently from, and therefore may not be comparable to, similarly titled measures used by other companies.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SAFE HARBOR STATEMENT </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Statements in this press release concerning our future business, operating results and financial condition, including those concerning guidance on future revenue and non-GAAP EBITDA, non-GAAP EBITDA margin, the impact of exchange rate fluctuations on our financial results, our expectations regarding continued growth, our expectations regarding the payment of any future quarterly dividends and the level and extent of any purchases under our share repurchase program, and statements using the terms “outlook,” “expect,” or similar expressions, are “forward-looking” statements as defined in Section 21 of the Securities Exchange Act of 1934, as amended. These statements are based upon our current expectations and various underlying assumptions. Although we believe there is a reasonable basis for these statements and assumptions, and these statements are expressed in good faith, these statements are subject to a number of additional factors and uncertainties. Our actual revenue and non-GAAP EBITDA margin in fiscal 2026 on a constant currency basis relative to fiscal 2025, as well as our actual non-cash forgivable loan amortization, could differ materially from the guidance presented herein, and our actual performance and results may differ materially from the performance and results contained in or implied by the forward-looking statements made herein, due to many important factors. These factors include, but are not limited to, the possibility that the demand for our services may decline as a result of changes in general and industry-specific economic conditions; the timing of engagements for our services; the effects of competitive services and pricing; the development and use of artificial intelligence; our ability to attract and retain key employees or non-employee experts; the inability to integrate and utilize existing consultants and personnel; the decline or reduction in project work or activity; global economic conditions including less stable political and economic environments; foreign currency exchange rate fluctuations; financing risks, including the availability of, and costs associated with, sources of liquidity; unanticipated expenses and liabilities; risks inherent in international operations; changes in tax law or accounting standards, rules, and regulations; our ability to collect on forgivable loans should any become due; and professional and other legal liability or settlements. Additional risks and uncertainties are discussed in our periodic filings with the Securities and Exchange Commission under the heading “Risk Factors.” The inclusion of such forward-looking information should not be regarded as our representation that the future events, plans, or expectations contemplated will be achieved. Except as may be required by law, we undertake no obligation to update any forward-looking statements after the date of this press release, and we do not intend to do so.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QUARTERS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4, 2026 COMPARED TO JUNE 28,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1346" w:type="dxa"/>
        <w:jc w:val="left"/>
        <w:tblInd w:w="0" w:type="dxa"/>
        <w:tblLayout w:type="fixed"/>
        <w:tblCellMar>
          <w:top w:w="28" w:type="dxa"/>
          <w:left w:w="28" w:type="dxa"/>
          <w:bottom w:w="28" w:type="dxa"/>
          <w:right w:w="28" w:type="dxa"/>
        </w:tblCellMar>
      </w:tblPr>
      <w:tblGrid>
        <w:gridCol w:w="464"/>
        <w:gridCol w:w="314"/>
        <w:gridCol w:w="318"/>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436"/>
      </w:tblGrid>
      <w:tr>
        <w:trPr/>
        <w:tc>
          <w:tcPr>
            <w:tcW w:w="4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As a % of</w:t>
              <w:br/>
              <w:t xml:space="preserve">Revenue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As a % of</w:t>
              <w:br/>
              <w:t xml:space="preserve">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of services (exclusive of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gains (losses),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Diluted</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QUARTERS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4, 2026 COMPARED TO JUNE 28,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1301" w:type="dxa"/>
        <w:jc w:val="left"/>
        <w:tblInd w:w="0" w:type="dxa"/>
        <w:tblLayout w:type="fixed"/>
        <w:tblCellMar>
          <w:top w:w="28" w:type="dxa"/>
          <w:left w:w="28" w:type="dxa"/>
          <w:bottom w:w="28" w:type="dxa"/>
          <w:right w:w="28" w:type="dxa"/>
        </w:tblCellMar>
      </w:tblPr>
      <w:tblGrid>
        <w:gridCol w:w="428"/>
        <w:gridCol w:w="309"/>
        <w:gridCol w:w="314"/>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436"/>
      </w:tblGrid>
      <w:tr>
        <w:trPr/>
        <w:tc>
          <w:tcPr>
            <w:tcW w:w="4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needed to reconcile GAAP net income to non-GAAP 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Restructuring and other </w:t>
            </w:r>
            <w:r>
              <w:rPr>
                <w:rFonts w:ascii="Times New Roman;serif" w:hAnsi="Times New Roman;serif"/>
                <w:b w:val="false"/>
                <w:color w:val="000000"/>
                <w:sz w:val="10"/>
              </w:rPr>
              <w:t>(1)(2)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(gains) losses,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 effect on adjustments</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1" w:type="dxa"/>
            <w:gridSpan w:val="4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Fiscal year-to-date period ended July 4, 2026 includes cash severance of $1.6 million and non-cash charges of $1.0 million associated with portfolio optimization actions.</w:t>
            </w:r>
          </w:p>
        </w:tc>
      </w:tr>
      <w:tr>
        <w:trPr/>
        <w:tc>
          <w:tcPr>
            <w:tcW w:w="11301" w:type="dxa"/>
            <w:gridSpan w:val="4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Fiscal year-to-date period ended June 28, 2025 includes $1.2 million of restructuring charges, net of the reversal of $5.4 million of non-cash charges associated with a previously recorded performance award.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QUARTERS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4, 2026 COMPARED TO JUNE 28,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1301" w:type="dxa"/>
        <w:jc w:val="left"/>
        <w:tblInd w:w="0" w:type="dxa"/>
        <w:tblLayout w:type="fixed"/>
        <w:tblCellMar>
          <w:top w:w="28" w:type="dxa"/>
          <w:left w:w="28" w:type="dxa"/>
          <w:bottom w:w="28" w:type="dxa"/>
          <w:right w:w="28" w:type="dxa"/>
        </w:tblCellMar>
      </w:tblPr>
      <w:tblGrid>
        <w:gridCol w:w="428"/>
        <w:gridCol w:w="309"/>
        <w:gridCol w:w="314"/>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436"/>
      </w:tblGrid>
      <w:tr>
        <w:trPr/>
        <w:tc>
          <w:tcPr>
            <w:tcW w:w="4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needed to reconcile GAAP net income to non-GAAP 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Restructuring and other </w:t>
            </w:r>
            <w:r>
              <w:rPr>
                <w:rFonts w:ascii="Times New Roman;serif" w:hAnsi="Times New Roman;serif"/>
                <w:b w:val="false"/>
                <w:color w:val="000000"/>
                <w:sz w:val="10"/>
              </w:rPr>
              <w:t>(1)(2)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(gains) losses,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 effect on adjustments</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needed to reconcile non-GAAP net income to non-GAAP EBITDA: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1" w:type="dxa"/>
            <w:gridSpan w:val="4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Fiscal year-to-date period ended July 4, 2026 includes cash severance of $1.6 million and non-cash charges of $1.0 million associated with portfolio optimization actions.</w:t>
            </w:r>
          </w:p>
        </w:tc>
      </w:tr>
      <w:tr>
        <w:trPr/>
        <w:tc>
          <w:tcPr>
            <w:tcW w:w="11301" w:type="dxa"/>
            <w:gridSpan w:val="4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Fiscal year-to-date period ended June 28, 2025 includes $1.2 million of restructuring charges, net of the reversal of $5.4 million of non-cash charges associated with a previously recorded performance award.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CRA INTERNATIONAL,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before="0" w:after="0"/>
        <w:jc w:val="center"/>
        <w:rPr/>
      </w:pPr>
      <w:r>
        <w:rPr/>
      </w:r>
    </w:p>
    <w:tbl>
      <w:tblPr>
        <w:tblW w:w="6095" w:type="dxa"/>
        <w:jc w:val="left"/>
        <w:tblInd w:w="0" w:type="dxa"/>
        <w:tblLayout w:type="fixed"/>
        <w:tblCellMar>
          <w:top w:w="28" w:type="dxa"/>
          <w:left w:w="28" w:type="dxa"/>
          <w:bottom w:w="28" w:type="dxa"/>
          <w:right w:w="28" w:type="dxa"/>
        </w:tblCellMar>
      </w:tblPr>
      <w:tblGrid>
        <w:gridCol w:w="1195"/>
        <w:gridCol w:w="1052"/>
        <w:gridCol w:w="1067"/>
        <w:gridCol w:w="196"/>
        <w:gridCol w:w="736"/>
        <w:gridCol w:w="109"/>
        <w:gridCol w:w="109"/>
        <w:gridCol w:w="109"/>
        <w:gridCol w:w="109"/>
        <w:gridCol w:w="196"/>
        <w:gridCol w:w="736"/>
        <w:gridCol w:w="109"/>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and unbilled services,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p>
      <w:pPr>
        <w:pStyle w:val="TextBody"/>
        <w:bidi w:val="0"/>
        <w:spacing w:before="0" w:after="0"/>
        <w:jc w:val="center"/>
        <w:rPr/>
      </w:pPr>
      <w:r>
        <w:rPr/>
      </w:r>
    </w:p>
    <w:tbl>
      <w:tblPr>
        <w:tblW w:w="8277" w:type="dxa"/>
        <w:jc w:val="center"/>
        <w:tblInd w:w="0" w:type="dxa"/>
        <w:tblLayout w:type="fixed"/>
        <w:tblCellMar>
          <w:top w:w="28" w:type="dxa"/>
          <w:left w:w="28" w:type="dxa"/>
          <w:bottom w:w="28" w:type="dxa"/>
          <w:right w:w="28" w:type="dxa"/>
        </w:tblCellMar>
      </w:tblPr>
      <w:tblGrid>
        <w:gridCol w:w="2056"/>
        <w:gridCol w:w="1803"/>
        <w:gridCol w:w="1810"/>
        <w:gridCol w:w="225"/>
        <w:gridCol w:w="741"/>
        <w:gridCol w:w="125"/>
        <w:gridCol w:w="125"/>
        <w:gridCol w:w="125"/>
        <w:gridCol w:w="125"/>
        <w:gridCol w:w="225"/>
        <w:gridCol w:w="741"/>
        <w:gridCol w:w="176"/>
      </w:tblGrid>
      <w:tr>
        <w:trPr/>
        <w:tc>
          <w:tcPr>
            <w:tcW w:w="205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items,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and unbilled services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Working capital items,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(74,142)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line of credit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under revolving line of credit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reimbursed by shares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and dividend equivalents paid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rates on cash and cash equivalents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accounts payable and accrued expenses for property and equipment</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lease obligations</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3,057 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operating lease liabilities</w:t>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11,640 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11,515 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left"/>
        <w:rPr/>
      </w:pPr>
      <w:r>
        <w:rPr/>
        <w:drawing>
          <wp:inline distT="0" distB="0" distL="0" distR="0">
            <wp:extent cx="2819400" cy="7239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2819400" cy="7239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CHARLES RIVER ASSOCIATES (CRA)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FISCAL YEAR 2026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EARNINGS ANNOUNCEMENT</w:t>
      </w:r>
    </w:p>
    <w:p>
      <w:pPr>
        <w:pStyle w:val="TextBody"/>
        <w:bidi w:val="0"/>
        <w:spacing w:lineRule="auto" w:line="288" w:before="0" w:after="200"/>
        <w:jc w:val="left"/>
        <w:rPr/>
      </w:pPr>
      <w:r>
        <w:rPr>
          <w:rFonts w:ascii="Times New Roman;serif" w:hAnsi="Times New Roman;serif"/>
          <w:b/>
          <w:color w:val="000000"/>
          <w:sz w:val="20"/>
        </w:rPr>
        <w:t>PREPARED CFO REMARKS</w:t>
      </w:r>
      <w:r>
        <w:rPr>
          <w:color w:val="000000"/>
        </w:rPr>
        <w:t xml:space="preserv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CRA is providing these prepared remarks by CFO Eric Nierenberg in combination with its press release. These remarks are offered to provide the investment community with additional information on CRA’s financial results prior to the start of the conference call. </w:t>
      </w:r>
    </w:p>
    <w:p>
      <w:pPr>
        <w:pStyle w:val="TextBody"/>
        <w:bidi w:val="0"/>
        <w:spacing w:lineRule="auto" w:line="288" w:before="0" w:after="200"/>
        <w:jc w:val="left"/>
        <w:rPr/>
      </w:pPr>
      <w:r>
        <w:rPr>
          <w:rFonts w:ascii="Times New Roman;serif" w:hAnsi="Times New Roman;serif"/>
          <w:b w:val="false"/>
          <w:color w:val="000000"/>
          <w:sz w:val="20"/>
        </w:rPr>
        <w:t>As previously announced, the conference call will be held on August 6, 2026 at 10:00 a.m. ET. These prepared remarks will not be read on the call.</w:t>
      </w:r>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Q2 Fiscal 2026 Summary (Quarter ended July 4, 2026) </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Revenue: $210.8 million</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Net income: $13.5 million, or 6.4% of revenue; non-GAAP net income: $13.9 million, or 6.6% of revenue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Earnings per diluted share: $2.10; non-GAAP earnings per diluted share: $2.16</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Operating margin and non-GAAP operating margin: 11.2%</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Non-GAAP EBITDA: $26.8 million, or 12.7% of revenue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Effective tax rate: 32.9%; non-GAAP effective tax rate: 32.6%</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Utilization: 77%</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Consultant headcount at the end of Q2 of fiscal 2026: 968, which consists of 161 officers, 581 other senior staff and 226 junior staff</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Cash and cash equivalents: $21.4 million at July 4, 2026</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Revolving credit facility borrowing capacity: $77.3 million at July 4, 2026</w:t>
      </w:r>
    </w:p>
    <w:p>
      <w:pPr>
        <w:pStyle w:val="TextBody"/>
        <w:bidi w:val="0"/>
        <w:spacing w:before="0" w:after="0"/>
        <w:ind w:left="0" w:right="0" w:firstLine="9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Q2 of fiscal 2026, revenue was $210.8 million, compared with revenue of $186.9 million for Q2 of fiscal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Headcount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CRA’s consultant headcount at the end of the stated quarters:</w:t>
      </w:r>
    </w:p>
    <w:tbl>
      <w:tblPr>
        <w:tblW w:w="5390" w:type="dxa"/>
        <w:jc w:val="left"/>
        <w:tblInd w:w="0" w:type="dxa"/>
        <w:tblLayout w:type="fixed"/>
        <w:tblCellMar>
          <w:top w:w="28" w:type="dxa"/>
          <w:left w:w="28" w:type="dxa"/>
          <w:bottom w:w="28" w:type="dxa"/>
          <w:right w:w="28" w:type="dxa"/>
        </w:tblCellMar>
      </w:tblPr>
      <w:tblGrid>
        <w:gridCol w:w="500"/>
        <w:gridCol w:w="439"/>
        <w:gridCol w:w="441"/>
        <w:gridCol w:w="109"/>
        <w:gridCol w:w="109"/>
        <w:gridCol w:w="109"/>
        <w:gridCol w:w="155"/>
        <w:gridCol w:w="155"/>
        <w:gridCol w:w="156"/>
        <w:gridCol w:w="109"/>
        <w:gridCol w:w="109"/>
        <w:gridCol w:w="109"/>
        <w:gridCol w:w="155"/>
        <w:gridCol w:w="155"/>
        <w:gridCol w:w="156"/>
        <w:gridCol w:w="109"/>
        <w:gridCol w:w="109"/>
        <w:gridCol w:w="109"/>
        <w:gridCol w:w="155"/>
        <w:gridCol w:w="155"/>
        <w:gridCol w:w="156"/>
        <w:gridCol w:w="109"/>
        <w:gridCol w:w="109"/>
        <w:gridCol w:w="109"/>
        <w:gridCol w:w="155"/>
        <w:gridCol w:w="155"/>
        <w:gridCol w:w="156"/>
        <w:gridCol w:w="109"/>
        <w:gridCol w:w="109"/>
        <w:gridCol w:w="109"/>
        <w:gridCol w:w="149"/>
        <w:gridCol w:w="149"/>
        <w:gridCol w:w="213"/>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w:t>
              <w:br/>
              <w:t>2025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159</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Other Senior Staff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557</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Junior Staff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221</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937</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Utilization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Q2 of fiscal 2026, company-wide utilization was 77%, compared with 76% for Q2 of fiscal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Client Reimbursables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Q2 of fiscal 2026, client reimbursables were $20.1 million, or 9.5% of revenue, compared with $19.6 million, or 10.5% of revenue, for Q2 of fiscal 2025.</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Selling, General and Administrative (SG&amp;A) Expenses</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For Q2 of fiscal 2026, SG&amp;A expenses were $35.3 million, or 16.7% of revenue, compared with $35.1 million, or 18.8% of revenue, for Q2 of fiscal 2025. Commissions to non-employee experts are included in SG&amp;A expenses. These commissions represented approximately 1.3% of revenue for Q2 of fiscal 2026 and 2.4% for Q2 of fiscal 2025. Excluding these commissions, SG&amp;A expenses were 15.5% of revenue for Q2 of fiscal 2026, compared with 16.3% in Q2 of fiscal 2025.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9389" w:type="dxa"/>
        <w:jc w:val="left"/>
        <w:tblInd w:w="0" w:type="dxa"/>
        <w:tblLayout w:type="fixed"/>
        <w:tblCellMar>
          <w:top w:w="28" w:type="dxa"/>
          <w:left w:w="28" w:type="dxa"/>
          <w:bottom w:w="28" w:type="dxa"/>
          <w:right w:w="28" w:type="dxa"/>
        </w:tblCellMar>
      </w:tblPr>
      <w:tblGrid>
        <w:gridCol w:w="1145"/>
        <w:gridCol w:w="1002"/>
        <w:gridCol w:w="1018"/>
        <w:gridCol w:w="109"/>
        <w:gridCol w:w="109"/>
        <w:gridCol w:w="109"/>
        <w:gridCol w:w="196"/>
        <w:gridCol w:w="646"/>
        <w:gridCol w:w="109"/>
        <w:gridCol w:w="109"/>
        <w:gridCol w:w="109"/>
        <w:gridCol w:w="109"/>
        <w:gridCol w:w="352"/>
        <w:gridCol w:w="352"/>
        <w:gridCol w:w="781"/>
        <w:gridCol w:w="109"/>
        <w:gridCol w:w="109"/>
        <w:gridCol w:w="109"/>
        <w:gridCol w:w="196"/>
        <w:gridCol w:w="646"/>
        <w:gridCol w:w="109"/>
        <w:gridCol w:w="109"/>
        <w:gridCol w:w="109"/>
        <w:gridCol w:w="109"/>
        <w:gridCol w:w="329"/>
        <w:gridCol w:w="329"/>
        <w:gridCol w:w="871"/>
      </w:tblGrid>
      <w:tr>
        <w:trPr/>
        <w:tc>
          <w:tcPr>
            <w:tcW w:w="114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7"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Revenue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SG&amp;A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Less: commissions to non-employee experts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SG&amp;A expenses excluding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Depreciation &amp; Amortization</w:t>
      </w:r>
    </w:p>
    <w:p>
      <w:pPr>
        <w:pStyle w:val="TextBody"/>
        <w:bidi w:val="0"/>
        <w:spacing w:lineRule="auto" w:line="288" w:before="0" w:after="200"/>
        <w:jc w:val="left"/>
        <w:rPr/>
      </w:pPr>
      <w:r>
        <w:rPr>
          <w:rFonts w:ascii="Times New Roman;serif" w:hAnsi="Times New Roman;serif"/>
          <w:b w:val="false"/>
          <w:color w:val="000000"/>
          <w:sz w:val="20"/>
          <w:shd w:fill="FFFFFF" w:val="clear"/>
        </w:rPr>
        <w:t>For Q2 of fiscal 2026, depreciation and amortization exp</w:t>
      </w:r>
      <w:r>
        <w:rPr>
          <w:rFonts w:ascii="Times New Roman;serif" w:hAnsi="Times New Roman;serif"/>
          <w:b w:val="false"/>
          <w:color w:val="000000"/>
          <w:sz w:val="20"/>
        </w:rPr>
        <w:t xml:space="preserve">enses amounted to $3.3 million, or 1.6% of revenue, compared with $3.5 million, or 1.9% of revenue, for Q2 of fiscal 2025.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Forgivable Loan Amortization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Q2 of fiscal 2026, forgivable loan amortization, including performance award amortization was $14.9 million, or 7.0% of revenue, compared with $10.2 million, or 5.5% of revenue, for Q2 of fiscal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Share-Based Compensation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Q2 of fiscal 2026, share-based compensation expense was approximately $2.4 million, or 1.1% of revenue, compared with $1.0 million, or 0.5% of revenue, for Q2 of fiscal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Operating Income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For Q2 of fiscal 2026, operating income and non-GAAP operating income were $23.5 million, or 11.2% of revenue, compared with $19.7 million, or 10.6% of revenue, for Q2 of fiscal 2025.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Interest Income (Expense), net </w:t>
      </w:r>
    </w:p>
    <w:p>
      <w:pPr>
        <w:pStyle w:val="TextBody"/>
        <w:bidi w:val="0"/>
        <w:spacing w:lineRule="auto" w:line="288" w:before="0" w:after="200"/>
        <w:jc w:val="left"/>
        <w:rPr/>
      </w:pPr>
      <w:r>
        <w:rPr>
          <w:rFonts w:ascii="Times New Roman;serif" w:hAnsi="Times New Roman;serif"/>
          <w:b w:val="false"/>
          <w:color w:val="000000"/>
          <w:sz w:val="20"/>
          <w:shd w:fill="FFFFFF" w:val="clear"/>
        </w:rPr>
        <w:t>For Q2 of fiscal 2026, net interest exp</w:t>
      </w:r>
      <w:r>
        <w:rPr>
          <w:rFonts w:ascii="Times New Roman;serif" w:hAnsi="Times New Roman;serif"/>
          <w:b w:val="false"/>
          <w:color w:val="000000"/>
          <w:sz w:val="20"/>
        </w:rPr>
        <w:t>ense was $3.0 million, or 1.4% of revenue, compared with net interest expense of $1.8 million, or 1.0% of revenue, for Q2 of fiscal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Gains (Losses), net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For Q2 of fiscal 2026, net foreign currency losses were $0.5 million, or 0.2% of revenue, compared with net foreign currency losses of $0.8 million, or 0.4% of revenue, for Q2 of fiscal 2025.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gains (losses), net, is comprised of net gains and losses on foreign denominated transactions and the revaluation of working capital balances. </w:t>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CRA’s income tax provision recorded and the resulting effective tax rates:</w:t>
      </w:r>
    </w:p>
    <w:tbl>
      <w:tblPr>
        <w:tblW w:w="6735" w:type="dxa"/>
        <w:jc w:val="left"/>
        <w:tblInd w:w="0" w:type="dxa"/>
        <w:tblLayout w:type="fixed"/>
        <w:tblCellMar>
          <w:top w:w="28" w:type="dxa"/>
          <w:left w:w="28" w:type="dxa"/>
          <w:bottom w:w="28" w:type="dxa"/>
          <w:right w:w="28" w:type="dxa"/>
        </w:tblCellMar>
      </w:tblPr>
      <w:tblGrid>
        <w:gridCol w:w="510"/>
        <w:gridCol w:w="447"/>
        <w:gridCol w:w="453"/>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86"/>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Non-GAAP</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r>
      <w:tr>
        <w:trPr/>
        <w:tc>
          <w:tcPr>
            <w:tcW w:w="14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4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24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24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200"/>
        <w:jc w:val="left"/>
        <w:rPr/>
      </w:pPr>
      <w:r>
        <w:rPr/>
      </w:r>
    </w:p>
    <w:tbl>
      <w:tblPr>
        <w:tblW w:w="10205" w:type="dxa"/>
        <w:jc w:val="left"/>
        <w:tblInd w:w="0" w:type="dxa"/>
        <w:tblLayout w:type="fixed"/>
        <w:tblCellMar>
          <w:top w:w="28" w:type="dxa"/>
          <w:left w:w="28" w:type="dxa"/>
          <w:bottom w:w="28" w:type="dxa"/>
          <w:right w:w="28" w:type="dxa"/>
        </w:tblCellMar>
      </w:tblPr>
      <w:tblGrid>
        <w:gridCol w:w="1815"/>
        <w:gridCol w:w="1492"/>
        <w:gridCol w:w="1491"/>
        <w:gridCol w:w="109"/>
        <w:gridCol w:w="109"/>
        <w:gridCol w:w="109"/>
        <w:gridCol w:w="196"/>
        <w:gridCol w:w="646"/>
        <w:gridCol w:w="109"/>
        <w:gridCol w:w="109"/>
        <w:gridCol w:w="109"/>
        <w:gridCol w:w="109"/>
        <w:gridCol w:w="268"/>
        <w:gridCol w:w="249"/>
        <w:gridCol w:w="553"/>
        <w:gridCol w:w="109"/>
        <w:gridCol w:w="109"/>
        <w:gridCol w:w="109"/>
        <w:gridCol w:w="196"/>
        <w:gridCol w:w="646"/>
        <w:gridCol w:w="109"/>
        <w:gridCol w:w="109"/>
        <w:gridCol w:w="109"/>
        <w:gridCol w:w="109"/>
        <w:gridCol w:w="262"/>
        <w:gridCol w:w="236"/>
        <w:gridCol w:w="629"/>
      </w:tblGrid>
      <w:tr>
        <w:trPr/>
        <w:tc>
          <w:tcPr>
            <w:tcW w:w="181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r>
      <w:tr>
        <w:trPr/>
        <w:tc>
          <w:tcPr>
            <w:tcW w:w="479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Revenue</w:t>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needed to reconcile GAAP income before provision for income taxes to non-GAAP 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Non-GAAP 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GAAP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Non-GAAP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5407" w:type="dxa"/>
            <w:gridSpan w:val="24"/>
            <w:tcBorders/>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5407" w:type="dxa"/>
            <w:gridSpan w:val="24"/>
            <w:tcBorders/>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80"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Income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For Q2 of fiscal 2026, net income was $13.5 million, or 6.4% of revenue, or $2.10 per diluted share, compared with net income of $12.1 million, or 6.5% of revenue, or $1.79 per diluted share, for Q2 of fiscal 2025. Non-GAAP net income for Q2 of fiscal 2026 was $13.9 million, or 6.6% of revenue, or $2.16 per diluted share, compared with $12.7 million, or 6.8% of revenue, or $1.88 per diluted share, for Q2 of fiscal 2025.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EBITDA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For Q2 of fiscal 2026, non-GAAP EBITDA was $26.8 million, or 12.7% of revenue, compared with $23.3 million, or 12.4% of revenue, for Q2 of fiscal 2025.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Constant Currency Basis</w:t>
      </w:r>
    </w:p>
    <w:p>
      <w:pPr>
        <w:pStyle w:val="TextBody"/>
        <w:bidi w:val="0"/>
        <w:spacing w:lineRule="auto" w:line="288" w:before="0" w:after="200"/>
        <w:jc w:val="left"/>
        <w:rPr/>
      </w:pPr>
      <w:r>
        <w:rPr>
          <w:rFonts w:ascii="Times New Roman;serif" w:hAnsi="Times New Roman;serif"/>
          <w:b w:val="false"/>
          <w:color w:val="000000"/>
          <w:sz w:val="20"/>
        </w:rPr>
        <w:t>For Q2 of fiscal 2026, revenue was $210.8 million, and net income was $13.5 million, or 6.4% of revenue, or $2.10 per diluted share. On a constant currency basis relative to Q2 of fiscal 2025, Q2 of fiscal 2026 revenue would have been lower by</w:t>
      </w:r>
      <w:r>
        <w:rPr>
          <w:color w:val="000000"/>
        </w:rPr>
        <w:t xml:space="preserve"> </w:t>
      </w:r>
      <w:r>
        <w:rPr>
          <w:rFonts w:ascii="Times New Roman;serif" w:hAnsi="Times New Roman;serif"/>
          <w:b w:val="false"/>
          <w:color w:val="000000"/>
          <w:sz w:val="20"/>
        </w:rPr>
        <w:t>$0.4 million at $210.4 million, while GAAP net income, and earnings per diluted share would have remained unchanged.</w:t>
      </w:r>
    </w:p>
    <w:p>
      <w:pPr>
        <w:pStyle w:val="TextBody"/>
        <w:bidi w:val="0"/>
        <w:spacing w:lineRule="auto" w:line="288" w:before="0" w:after="200"/>
        <w:jc w:val="left"/>
        <w:rPr/>
      </w:pPr>
      <w:r>
        <w:rPr>
          <w:rFonts w:ascii="Times New Roman;serif" w:hAnsi="Times New Roman;serif"/>
          <w:b w:val="false"/>
          <w:color w:val="000000"/>
          <w:sz w:val="20"/>
        </w:rPr>
        <w:t>For Q2 of fiscal 2026, revenue was $210.8 million, and non-GAAP net income was $13.9 million, or 6.6% of revenue, or $2.16 per diluted share. On a constant currency basis relative to Q2 of fiscal 2025, Q2 of fiscal 2026 revenue would have been lower by</w:t>
      </w:r>
      <w:r>
        <w:rPr>
          <w:color w:val="000000"/>
        </w:rPr>
        <w:t xml:space="preserve"> </w:t>
      </w:r>
      <w:r>
        <w:rPr>
          <w:rFonts w:ascii="Times New Roman;serif" w:hAnsi="Times New Roman;serif"/>
          <w:b w:val="false"/>
          <w:color w:val="000000"/>
          <w:sz w:val="20"/>
        </w:rPr>
        <w:t xml:space="preserve">$0.4 million at $210.4 million, non-GAAP net income would have been lower by $0.1 million at $13.8 million, or 6.6% of revenue, while non-GAAP earnings per diluted share and non-GAAP EBITDA would have remained unchanged.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description of the process for calculating the measures presented on a constant currency basis is contained under the heading “Non-GAAP Financial Measures” below.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Balance Sheet Metrics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Billed and unbilled receivables at July 4, 2026 were $271.7 million, compared with $235.0 million at June 28, 2025. Current liabilities at July 4, 2026 were $415.2 million, compared with $317.3 million at June 28, 2025.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Total Days Sales Outstanding, or DSO, for Q2 of fiscal 2026 was 113 days, consisting of 68 days of billed and 45 days of unbilled. This compares with 110 days reported for Q2 of fiscal 2025, consisting of 73 days of billed and 37 days of unbilled.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and Cash Flow</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was $21.4 million at July 4, 2026, compared with $19.4 million at June 28, 2025.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Q2 of fiscal 2026 was $4.4 million, compared with net cash provided by operating activities of $5.9 million for Q2 of fiscal 2025.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there were $219.0 million in borrowings outstanding under CRA’s revolving credit facility. At June 28, 2025, there were $120.0 million in borrowings outstanding under CRA’s revolving credit facility.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totaled $1.6 million for Q2 of fiscal 2026, compared with $1.2 million for Q2 of fiscal 2025.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CRA repurchased approximately 193,000 shares of common stock during Q2 of fiscal 2026 for $27.8 million. During the fiscal quarter ended June 28, 2025, CRA repurchased approximately 231,000 shares of common stock for $43.2 million.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quarterly cash dividend of $0.57 per common share, for total dividends and dividend equivalents of $3.6 million, was paid in Q2 of fiscal 2026, compared with a quarterly cash dividend of $0.49 per common share, for total dividends and dividend equivalents of $3.4 million paid in Q2 of fiscal 2025.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GAAP Condensed Consolidated Statement of Cash Flows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CRA has derived the condensed consolidated statement of cash flow data for the fourth quarters and the years ended January 3, 2026 and December 28, 2024 from its audited financial statements appearing on Form 10-K for the fiscal year ended January 3, 2026, filed with the Securities and Exchange Commission on February 26, 2026. The condensed consolidated statement of cash flow data for the first, second and third quarters of fiscal year 2025, and the third quarter of fiscal year 2024 have been derived from CRA’s unaudited financial statements appearing on Form 10-Q for each of the respective fiscal quarters as well as the consolidated statements of cash flows appearing on Form 10-K for the fiscal years ended January 3, 2026 and December 28, 2024 and have been prepared on the same basis as CRA’s audited financial statements.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8"/>
        <w:gridCol w:w="1114"/>
        <w:gridCol w:w="1120"/>
        <w:gridCol w:w="109"/>
        <w:gridCol w:w="109"/>
        <w:gridCol w:w="109"/>
        <w:gridCol w:w="196"/>
        <w:gridCol w:w="704"/>
        <w:gridCol w:w="109"/>
        <w:gridCol w:w="109"/>
        <w:gridCol w:w="109"/>
        <w:gridCol w:w="109"/>
        <w:gridCol w:w="196"/>
        <w:gridCol w:w="704"/>
        <w:gridCol w:w="109"/>
        <w:gridCol w:w="109"/>
        <w:gridCol w:w="109"/>
        <w:gridCol w:w="109"/>
        <w:gridCol w:w="196"/>
        <w:gridCol w:w="794"/>
        <w:gridCol w:w="109"/>
        <w:gridCol w:w="109"/>
        <w:gridCol w:w="109"/>
        <w:gridCol w:w="109"/>
        <w:gridCol w:w="196"/>
        <w:gridCol w:w="646"/>
        <w:gridCol w:w="109"/>
        <w:gridCol w:w="109"/>
        <w:gridCol w:w="109"/>
        <w:gridCol w:w="109"/>
        <w:gridCol w:w="196"/>
        <w:gridCol w:w="646"/>
        <w:gridCol w:w="158"/>
      </w:tblGrid>
      <w:tr>
        <w:trPr/>
        <w:tc>
          <w:tcPr>
            <w:tcW w:w="126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GAAP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LTM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Q3</w:t>
            </w:r>
          </w:p>
        </w:tc>
      </w:tr>
      <w:tr>
        <w:trPr/>
        <w:tc>
          <w:tcPr>
            <w:tcW w:w="35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2"/>
        <w:gridCol w:w="1179"/>
        <w:gridCol w:w="1186"/>
        <w:gridCol w:w="109"/>
        <w:gridCol w:w="109"/>
        <w:gridCol w:w="109"/>
        <w:gridCol w:w="196"/>
        <w:gridCol w:w="646"/>
        <w:gridCol w:w="109"/>
        <w:gridCol w:w="109"/>
        <w:gridCol w:w="109"/>
        <w:gridCol w:w="109"/>
        <w:gridCol w:w="196"/>
        <w:gridCol w:w="646"/>
        <w:gridCol w:w="109"/>
        <w:gridCol w:w="109"/>
        <w:gridCol w:w="109"/>
        <w:gridCol w:w="109"/>
        <w:gridCol w:w="196"/>
        <w:gridCol w:w="708"/>
        <w:gridCol w:w="109"/>
        <w:gridCol w:w="109"/>
        <w:gridCol w:w="109"/>
        <w:gridCol w:w="109"/>
        <w:gridCol w:w="196"/>
        <w:gridCol w:w="646"/>
        <w:gridCol w:w="109"/>
        <w:gridCol w:w="109"/>
        <w:gridCol w:w="109"/>
        <w:gridCol w:w="109"/>
        <w:gridCol w:w="196"/>
        <w:gridCol w:w="646"/>
        <w:gridCol w:w="155"/>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GAAP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LTM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Q3</w:t>
            </w:r>
          </w:p>
        </w:tc>
      </w:tr>
      <w:tr>
        <w:trPr/>
        <w:tc>
          <w:tcPr>
            <w:tcW w:w="3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Adjusted Net Cash Flows from Operations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Below are the quarterly and last twelve-month reconciliations of GAAP net cash provided by (used in) operating activities for each of the periods presented to non-GAAP adjusted net cash flows from operations. The reconciling items are forgivable loan advances and repayments for each period, which are reported as a component of GAAP net cash provided by (used in) operating activities, along with other non-recurring cash items.</w:t>
      </w:r>
    </w:p>
    <w:tbl>
      <w:tblPr>
        <w:tblW w:w="10205" w:type="dxa"/>
        <w:jc w:val="left"/>
        <w:tblInd w:w="0" w:type="dxa"/>
        <w:tblLayout w:type="fixed"/>
        <w:tblCellMar>
          <w:top w:w="28" w:type="dxa"/>
          <w:left w:w="28" w:type="dxa"/>
          <w:bottom w:w="28" w:type="dxa"/>
          <w:right w:w="28" w:type="dxa"/>
        </w:tblCellMar>
      </w:tblPr>
      <w:tblGrid>
        <w:gridCol w:w="950"/>
        <w:gridCol w:w="835"/>
        <w:gridCol w:w="840"/>
        <w:gridCol w:w="109"/>
        <w:gridCol w:w="109"/>
        <w:gridCol w:w="109"/>
        <w:gridCol w:w="196"/>
        <w:gridCol w:w="736"/>
        <w:gridCol w:w="241"/>
        <w:gridCol w:w="109"/>
        <w:gridCol w:w="109"/>
        <w:gridCol w:w="109"/>
        <w:gridCol w:w="196"/>
        <w:gridCol w:w="736"/>
        <w:gridCol w:w="241"/>
        <w:gridCol w:w="109"/>
        <w:gridCol w:w="109"/>
        <w:gridCol w:w="109"/>
        <w:gridCol w:w="196"/>
        <w:gridCol w:w="770"/>
        <w:gridCol w:w="241"/>
        <w:gridCol w:w="109"/>
        <w:gridCol w:w="109"/>
        <w:gridCol w:w="109"/>
        <w:gridCol w:w="196"/>
        <w:gridCol w:w="736"/>
        <w:gridCol w:w="241"/>
        <w:gridCol w:w="109"/>
        <w:gridCol w:w="109"/>
        <w:gridCol w:w="109"/>
        <w:gridCol w:w="196"/>
        <w:gridCol w:w="736"/>
        <w:gridCol w:w="287"/>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Adjusted Net Cash Flows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LTM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Q3</w:t>
            </w:r>
          </w:p>
        </w:tc>
      </w:tr>
      <w:tr>
        <w:trPr/>
        <w:tc>
          <w:tcPr>
            <w:tcW w:w="26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(113,889)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36,547 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Forgivable loan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Forgivable loan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cash flows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(51,572)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64,614 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794,644 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185,891 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cash provided by (used in) operating activities as a 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cash flows from operations as a 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2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62"/>
        <w:gridCol w:w="846"/>
        <w:gridCol w:w="85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87"/>
      </w:tblGrid>
      <w:tr>
        <w:trPr/>
        <w:tc>
          <w:tcPr>
            <w:tcW w:w="96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6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Adjusted Net Cash Flows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LTM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Q3</w:t>
            </w:r>
          </w:p>
        </w:tc>
      </w:tr>
      <w:tr>
        <w:trPr/>
        <w:tc>
          <w:tcPr>
            <w:tcW w:w="26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Forgivable loan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Forgivable loan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cash flows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45,842 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712,912 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167,748 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cash provided by (used in) operating activities as a 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cash flows from operations as a 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2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60" w:after="20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0" w:after="200"/>
        <w:jc w:val="left"/>
        <w:rPr/>
      </w:pPr>
      <w:r>
        <w:rPr>
          <w:rFonts w:ascii="Times New Roman;serif" w:hAnsi="Times New Roman;serif"/>
          <w:b w:val="false"/>
          <w:color w:val="000000"/>
          <w:sz w:val="20"/>
        </w:rPr>
        <w:t>In these remarks, CRA has supplemented the presentation of its financial results calculated in accordance with U.S. generally accepted accounting principles or “GAAP” with the following financial measures that were not calculated in accordance with GAAP:</w:t>
      </w:r>
      <w:r>
        <w:rPr>
          <w:color w:val="000000"/>
        </w:rPr>
        <w:t xml:space="preserve"> </w:t>
      </w:r>
      <w:r>
        <w:rPr>
          <w:rFonts w:ascii="Times New Roman;serif" w:hAnsi="Times New Roman;serif"/>
          <w:b w:val="false"/>
          <w:color w:val="000000"/>
          <w:sz w:val="20"/>
        </w:rPr>
        <w:t xml:space="preserve">non-GAAP net income, non-GAAP earnings per diluted share, non-GAAP EBITDA, non-GAAP income from operations (and non-GAAP operating margin), non-GAAP provision for income taxes (and non-GAAP effective tax rate), SG&amp;A expenses excluding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commissions and non-GAAP adjusted net cash flows from operations. CRA believes that these non-GAAP financial measures are important to management and investors because these measures supplement the understanding of CRA’s ongoing operating results, financial condition and cash flows. Non-GAAP adjusted net cash flows from operations is used by management to assess CRA’s ability to fund items such as the acquisition of talent, office expansions, debt repayment and distributions to shareholders. In addition, non-GAAP net income and non-GAAP EBITDA are used by CRA in its budgeting process, and the non-GAAP adjustments described below are made to the performance measures for some of CRA’s performance-based compensation.</w:t>
      </w:r>
    </w:p>
    <w:p>
      <w:pPr>
        <w:pStyle w:val="TextBody"/>
        <w:bidi w:val="0"/>
        <w:spacing w:lineRule="auto" w:line="268" w:before="0" w:after="0"/>
        <w:jc w:val="left"/>
        <w:rPr/>
      </w:pPr>
      <w:r>
        <w:rPr>
          <w:rFonts w:ascii="Times New Roman;serif" w:hAnsi="Times New Roman;serif"/>
          <w:b w:val="false"/>
          <w:color w:val="000000"/>
          <w:sz w:val="20"/>
        </w:rPr>
        <w:t>As used herein, CRA defines non-GAAP EBITDA as net income before interest expense (net), provision for income taxes, and depreciation and amortization further adjusted for the impact of certain items that we do not consider indicative of its core operating performance, such as non-cash amounts relating to valuation changes in contingent consideration, acquisition-related costs, foreign currency (gains) losses, net, restructuring costs and related tax effects. Non-GAAP net income, non-GAAP income from operations and non-GAAP provision for income taxes also exclude non-cash amounts relating to valuation changes in contingent consideration, acquisition-related costs, foreign currency (gains) losses, net, restructuring costs and related tax effects.</w:t>
      </w:r>
      <w:r>
        <w:rPr>
          <w:color w:val="000000"/>
        </w:rPr>
        <w:t xml:space="preserve"> </w:t>
      </w:r>
      <w:r>
        <w:rPr>
          <w:rFonts w:ascii="Times New Roman;serif" w:hAnsi="Times New Roman;serif"/>
          <w:b w:val="false"/>
          <w:color w:val="000000"/>
          <w:sz w:val="20"/>
        </w:rPr>
        <w:t xml:space="preserve">The adjustments made to non-GAAP adjusted net cash flows from operations add back forgivable loan issuances, net of repayments, along with other non-recurring cash items. These remarks also present certain current fiscal period financial measures on a “constant currency” basis in order to isolate the effect that foreign currency exchange rate fluctuations can have on CRA’s financial results. These constant currency measures are determined by recalculating the current fiscal period local currency financial measure using the specified corresponding prior fiscal period’s foreign exchange rates.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of the non-GAAP financial measures referred to above should be considered in conjunction with, and not as a substitute for, the GAAP financial information presented in these remarks. The financial measures identified in these remarks as “non-GAAP” are reconciled to their GAAP comparable measures either in these remarks or in the attached financial tables. In evaluating these non-GAAP financial measures, note that the non-GAAP financial measures used by CRA may be calculated differently from, and therefore may not be comparable to, similarly titled measures used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QUARTERS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4, 2026 COMPARED TO JUNE 28,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1346" w:type="dxa"/>
        <w:jc w:val="left"/>
        <w:tblInd w:w="0" w:type="dxa"/>
        <w:tblLayout w:type="fixed"/>
        <w:tblCellMar>
          <w:top w:w="28" w:type="dxa"/>
          <w:left w:w="28" w:type="dxa"/>
          <w:bottom w:w="28" w:type="dxa"/>
          <w:right w:w="28" w:type="dxa"/>
        </w:tblCellMar>
      </w:tblPr>
      <w:tblGrid>
        <w:gridCol w:w="464"/>
        <w:gridCol w:w="314"/>
        <w:gridCol w:w="318"/>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436"/>
      </w:tblGrid>
      <w:tr>
        <w:trPr/>
        <w:tc>
          <w:tcPr>
            <w:tcW w:w="4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As a % of</w:t>
              <w:br/>
              <w:t xml:space="preserve">Revenue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As a % of</w:t>
              <w:br/>
              <w:t xml:space="preserve">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of services (exclusive of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gains (losses),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Diluted</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QUARTERS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4, 2026 COMPARED TO JUNE 28,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1301" w:type="dxa"/>
        <w:jc w:val="center"/>
        <w:tblInd w:w="0" w:type="dxa"/>
        <w:tblLayout w:type="fixed"/>
        <w:tblCellMar>
          <w:top w:w="28" w:type="dxa"/>
          <w:left w:w="28" w:type="dxa"/>
          <w:bottom w:w="28" w:type="dxa"/>
          <w:right w:w="28" w:type="dxa"/>
        </w:tblCellMar>
      </w:tblPr>
      <w:tblGrid>
        <w:gridCol w:w="428"/>
        <w:gridCol w:w="309"/>
        <w:gridCol w:w="314"/>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436"/>
      </w:tblGrid>
      <w:tr>
        <w:trPr/>
        <w:tc>
          <w:tcPr>
            <w:tcW w:w="4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needed to reconcile GAAP net income to non-GAAP 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Restructuring and other </w:t>
            </w:r>
            <w:r>
              <w:rPr>
                <w:rFonts w:ascii="Times New Roman;serif" w:hAnsi="Times New Roman;serif"/>
                <w:b w:val="false"/>
                <w:color w:val="000000"/>
                <w:sz w:val="10"/>
              </w:rPr>
              <w:t>(1)(2)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(gains) losses,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 effect on adjustments</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1" w:type="dxa"/>
            <w:gridSpan w:val="4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Fiscal year-to-date period ended July 4, 2026 includes cash severance of $1.6 million and non-cash charges of $1.0 million associated with portfolio optimization actions.</w:t>
            </w:r>
          </w:p>
        </w:tc>
      </w:tr>
      <w:tr>
        <w:trPr/>
        <w:tc>
          <w:tcPr>
            <w:tcW w:w="11301" w:type="dxa"/>
            <w:gridSpan w:val="4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Fiscal year-to-date period ended June 28, 2025 includes $1.2 million of restructuring charges, net of the reversal of $5.4 million of non-cash charges associated with a previously recorded performance award.</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QUARTERS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4, 2026 COMPARED TO JUNE 28,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1301" w:type="dxa"/>
        <w:jc w:val="left"/>
        <w:tblInd w:w="0" w:type="dxa"/>
        <w:tblLayout w:type="fixed"/>
        <w:tblCellMar>
          <w:top w:w="28" w:type="dxa"/>
          <w:left w:w="28" w:type="dxa"/>
          <w:bottom w:w="28" w:type="dxa"/>
          <w:right w:w="28" w:type="dxa"/>
        </w:tblCellMar>
      </w:tblPr>
      <w:tblGrid>
        <w:gridCol w:w="428"/>
        <w:gridCol w:w="309"/>
        <w:gridCol w:w="314"/>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379"/>
        <w:gridCol w:w="109"/>
        <w:gridCol w:w="109"/>
        <w:gridCol w:w="109"/>
        <w:gridCol w:w="196"/>
        <w:gridCol w:w="736"/>
        <w:gridCol w:w="109"/>
        <w:gridCol w:w="109"/>
        <w:gridCol w:w="109"/>
        <w:gridCol w:w="109"/>
        <w:gridCol w:w="278"/>
        <w:gridCol w:w="278"/>
        <w:gridCol w:w="436"/>
      </w:tblGrid>
      <w:tr>
        <w:trPr/>
        <w:tc>
          <w:tcPr>
            <w:tcW w:w="4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Revenue</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needed to reconcile GAAP net income to non-GAAP 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Restructuring and other </w:t>
            </w:r>
            <w:r>
              <w:rPr>
                <w:rFonts w:ascii="Times New Roman;serif" w:hAnsi="Times New Roman;serif"/>
                <w:b w:val="false"/>
                <w:color w:val="000000"/>
                <w:sz w:val="10"/>
              </w:rPr>
              <w:t>(1)(2)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(gains) losses,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 effect on adjustments</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needed to reconcile non-GAAP net income to non-GAAP EBITDA: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1" w:type="dxa"/>
            <w:gridSpan w:val="4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Fiscal year-to-date period ended July 4, 2026 includes cash severance of $1.6 million and non-cash charges of $1.0 million associated with portfolio optimization actions.</w:t>
            </w:r>
          </w:p>
        </w:tc>
      </w:tr>
      <w:tr>
        <w:trPr/>
        <w:tc>
          <w:tcPr>
            <w:tcW w:w="11301" w:type="dxa"/>
            <w:gridSpan w:val="4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Fiscal year-to-date period ended June 28, 2025 includes $1.2 million of restructuring charges, net of the reversal of $5.4 million of non-cash charges associated with a previously recorded performance award.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CRA INTERNATIONAL,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before="0" w:after="0"/>
        <w:jc w:val="center"/>
        <w:rPr/>
      </w:pPr>
      <w:r>
        <w:rPr/>
      </w:r>
    </w:p>
    <w:tbl>
      <w:tblPr>
        <w:tblW w:w="6095" w:type="dxa"/>
        <w:jc w:val="left"/>
        <w:tblInd w:w="0" w:type="dxa"/>
        <w:tblLayout w:type="fixed"/>
        <w:tblCellMar>
          <w:top w:w="28" w:type="dxa"/>
          <w:left w:w="28" w:type="dxa"/>
          <w:bottom w:w="28" w:type="dxa"/>
          <w:right w:w="28" w:type="dxa"/>
        </w:tblCellMar>
      </w:tblPr>
      <w:tblGrid>
        <w:gridCol w:w="1195"/>
        <w:gridCol w:w="1052"/>
        <w:gridCol w:w="1067"/>
        <w:gridCol w:w="196"/>
        <w:gridCol w:w="736"/>
        <w:gridCol w:w="109"/>
        <w:gridCol w:w="109"/>
        <w:gridCol w:w="109"/>
        <w:gridCol w:w="109"/>
        <w:gridCol w:w="196"/>
        <w:gridCol w:w="736"/>
        <w:gridCol w:w="109"/>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and unbilled services,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CRA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8277" w:type="dxa"/>
        <w:jc w:val="left"/>
        <w:tblInd w:w="0" w:type="dxa"/>
        <w:tblLayout w:type="fixed"/>
        <w:tblCellMar>
          <w:top w:w="28" w:type="dxa"/>
          <w:left w:w="28" w:type="dxa"/>
          <w:bottom w:w="28" w:type="dxa"/>
          <w:right w:w="28" w:type="dxa"/>
        </w:tblCellMar>
      </w:tblPr>
      <w:tblGrid>
        <w:gridCol w:w="2056"/>
        <w:gridCol w:w="1803"/>
        <w:gridCol w:w="1810"/>
        <w:gridCol w:w="225"/>
        <w:gridCol w:w="741"/>
        <w:gridCol w:w="125"/>
        <w:gridCol w:w="125"/>
        <w:gridCol w:w="125"/>
        <w:gridCol w:w="125"/>
        <w:gridCol w:w="225"/>
        <w:gridCol w:w="741"/>
        <w:gridCol w:w="176"/>
      </w:tblGrid>
      <w:tr>
        <w:trPr/>
        <w:tc>
          <w:tcPr>
            <w:tcW w:w="205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Year-to-Date Period Ended</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items,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and unbilled services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Working capital items,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(74,142)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line of credit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under revolving line of credit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reimbursed by shares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and dividend equivalents paid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rates on cash and cash equivalents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accounts payable and accrued expenses for property and equipment</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lease obligations</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3,057 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operating lease liabilities</w:t>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11,640 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11,515 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99.3</w:t>
      </w:r>
    </w:p>
    <w:tbl>
      <w:tblPr>
        <w:tblW w:w="5169" w:type="dxa"/>
        <w:jc w:val="left"/>
        <w:tblInd w:w="0" w:type="dxa"/>
        <w:tblLayout w:type="fixed"/>
        <w:tblCellMar>
          <w:top w:w="28" w:type="dxa"/>
          <w:left w:w="28" w:type="dxa"/>
          <w:bottom w:w="28" w:type="dxa"/>
          <w:right w:w="28" w:type="dxa"/>
        </w:tblCellMar>
      </w:tblPr>
      <w:tblGrid>
        <w:gridCol w:w="769"/>
        <w:gridCol w:w="676"/>
        <w:gridCol w:w="684"/>
        <w:gridCol w:w="109"/>
        <w:gridCol w:w="109"/>
        <w:gridCol w:w="109"/>
        <w:gridCol w:w="779"/>
        <w:gridCol w:w="779"/>
        <w:gridCol w:w="783"/>
        <w:gridCol w:w="109"/>
        <w:gridCol w:w="109"/>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Nierenberg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Manganaro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River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Sharon Merrill Advisors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investor@crai.com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crai@investorrelations.com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617-425-3020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617-542-5300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CHARLES RIVER ASSOCIATES (CRA) DECLARES QUARTERLY CASH DIVIDEND OF $0.57 PER COMMON SHARE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BOSTON, August 6, 2026 – </w:t>
      </w:r>
      <w:r>
        <w:rPr>
          <w:rFonts w:ascii="Times New Roman;serif" w:hAnsi="Times New Roman;serif"/>
          <w:b w:val="false"/>
          <w:color w:val="000000"/>
          <w:sz w:val="20"/>
          <w:u w:val="single"/>
        </w:rPr>
        <w:t>Charles River Associates</w:t>
      </w:r>
      <w:r>
        <w:rPr>
          <w:color w:val="000000"/>
        </w:rPr>
        <w:t xml:space="preserve"> </w:t>
      </w:r>
      <w:r>
        <w:rPr>
          <w:rFonts w:ascii="Times New Roman;serif" w:hAnsi="Times New Roman;serif"/>
          <w:b w:val="false"/>
          <w:color w:val="000000"/>
          <w:sz w:val="20"/>
        </w:rPr>
        <w:t xml:space="preserve">(NASDAQ: CRAI), a worldwide leader in providing </w:t>
      </w:r>
      <w:r>
        <w:rPr>
          <w:rFonts w:ascii="Times New Roman;serif" w:hAnsi="Times New Roman;serif"/>
          <w:b w:val="false"/>
          <w:color w:val="000000"/>
          <w:sz w:val="20"/>
          <w:u w:val="single"/>
        </w:rPr>
        <w:t>economic, financial and management consulting services</w:t>
      </w:r>
      <w:r>
        <w:rPr>
          <w:rFonts w:ascii="Times New Roman;serif" w:hAnsi="Times New Roman;serif"/>
          <w:b w:val="false"/>
          <w:color w:val="000000"/>
          <w:sz w:val="20"/>
        </w:rPr>
        <w:t>, today announced that its Board of Directors has declared a quarterly cash dividend of</w:t>
      </w:r>
      <w:r>
        <w:rPr>
          <w:color w:val="000000"/>
        </w:rPr>
        <w:t xml:space="preserve"> </w:t>
      </w:r>
      <w:r>
        <w:rPr>
          <w:rFonts w:ascii="Times New Roman;serif" w:hAnsi="Times New Roman;serif"/>
          <w:b w:val="false"/>
          <w:color w:val="000000"/>
          <w:sz w:val="20"/>
        </w:rPr>
        <w:t>$0.57 per common share to be paid on September 14, 2026 to shareholders of record of CRA’s common stock as of the close of business on August 25, 2026. The Company expects to continue paying quarterly dividends, the declaration, timing and amounts of which remain subject to the discretion of CRA’s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Charles River Associates (CRA)</w:t>
      </w:r>
    </w:p>
    <w:p>
      <w:pPr>
        <w:pStyle w:val="TextBody"/>
        <w:bidi w:val="0"/>
        <w:spacing w:lineRule="auto" w:line="276" w:before="0" w:after="0"/>
        <w:jc w:val="left"/>
        <w:rPr/>
      </w:pPr>
      <w:r>
        <w:rPr>
          <w:rFonts w:ascii="Times New Roman;serif" w:hAnsi="Times New Roman;serif"/>
          <w:b w:val="false"/>
          <w:color w:val="000000"/>
          <w:sz w:val="20"/>
        </w:rPr>
        <w:t xml:space="preserve">Charles River Associates® is a leading global consulting firm specializing in </w:t>
      </w:r>
      <w:r>
        <w:rPr>
          <w:rFonts w:ascii="Times New Roman;serif" w:hAnsi="Times New Roman;serif"/>
          <w:b w:val="false"/>
          <w:color w:val="000000"/>
          <w:sz w:val="20"/>
          <w:u w:val="single"/>
        </w:rPr>
        <w:t>economic, financial and management consulting services</w:t>
      </w:r>
      <w:r>
        <w:rPr>
          <w:rFonts w:ascii="Times New Roman;serif" w:hAnsi="Times New Roman;serif"/>
          <w:b w:val="false"/>
          <w:color w:val="000000"/>
          <w:sz w:val="20"/>
        </w:rPr>
        <w:t xml:space="preserve">. CRA advises clients on economic and financial matters pertaining to litigation and regulatory proceedings, and guides corporations through critical business strategy and performance-related issues. Since 1965, clients have engaged CRA for its unique combination of functional expertise and industry knowledge, and for its objective solutions to complex problems. Headquartered in Boston, CRA has offices throughout the world. Detailed information about Charles River Associates, a registered trade name of CRA International, Inc., is available at </w:t>
      </w:r>
      <w:r>
        <w:rPr>
          <w:rFonts w:ascii="Times New Roman;serif" w:hAnsi="Times New Roman;serif"/>
          <w:b w:val="false"/>
          <w:color w:val="000000"/>
          <w:sz w:val="20"/>
          <w:u w:val="single"/>
        </w:rPr>
        <w:t>www.crai.com</w:t>
      </w:r>
      <w:r>
        <w:rPr>
          <w:rFonts w:ascii="Times New Roman;serif" w:hAnsi="Times New Roman;serif"/>
          <w:b w:val="false"/>
          <w:color w:val="000000"/>
          <w:sz w:val="20"/>
        </w:rPr>
        <w:t xml:space="preserve">. Follow us on </w:t>
      </w:r>
      <w:r>
        <w:rPr>
          <w:rFonts w:ascii="Times New Roman;serif" w:hAnsi="Times New Roman;serif"/>
          <w:b w:val="false"/>
          <w:color w:val="000000"/>
          <w:sz w:val="20"/>
          <w:u w:val="single"/>
        </w:rPr>
        <w:t>LinkedIn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Instagram</w:t>
      </w:r>
      <w:r>
        <w:rPr>
          <w:rFonts w:ascii="Times New Roman;serif" w:hAnsi="Times New Roman;serif"/>
          <w:b w:val="false"/>
          <w:color w:val="000000"/>
          <w:sz w:val="20"/>
        </w:rPr>
        <w:t xml:space="preserve">, and </w:t>
      </w:r>
      <w:r>
        <w:rPr>
          <w:rFonts w:ascii="Times New Roman;serif" w:hAnsi="Times New Roman;serif"/>
          <w:b w:val="false"/>
          <w:color w:val="000000"/>
          <w:sz w:val="20"/>
          <w:u w:val="single"/>
        </w:rPr>
        <w:t>Facebook</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SAFE HARBOR STATEMENT</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Statements in this press release concerning our expectations regarding the payment of future quarterly dividends are “forward-looking” statements as defined in Section 21 of the Securities Exchange Act of 1934, as amended. These statements are based upon our current expectations and various underlying assumptions. Although we believe there is a reasonable basis for these statements and assumptions, and these statements are expressed in good faith, these statements are subject to a number of additional factors and uncertainties. These factors include, but are not limited to, the possibility that the demand for our services may decline as a result of changes in general and industry specific economic conditions; the timing of engagements for our services; the effects of competitive services and pricing; the development and use of artificial intelligence; our ability to attract and retain key employee or non-employee experts; the inability to integrate and utilize existing consultants and personnel; the decline or reduction in project work or activity; global economic conditions including less stable political and economic environments; foreign currency exchange rate fluctuations; unanticipated expenses and liabilities; risks inherent in international operations; changes in tax law or accounting standards, rules, and regulations; our ability to collect on forgivable loans should any become due; and professional and other legal liability or settlements. Additional risks and uncertainties are discussed in our periodic filings with the Securities and Exchange Commission under the heading “Risk Factors.” The inclusion of such forward-looking information should not be regarded as our representation that the future events, plans, or expectations contemplated will be achieved. Except as may be required by law, we undertake no obligation to update any forward-looking statements after the date of this press release, and we do not intend to do so.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99.4</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Contacts:</w:t>
      </w:r>
    </w:p>
    <w:p>
      <w:pPr>
        <w:pStyle w:val="TextBody"/>
        <w:bidi w:val="0"/>
        <w:spacing w:lineRule="auto" w:line="288" w:before="0" w:after="0"/>
        <w:jc w:val="left"/>
        <w:rPr/>
      </w:pPr>
      <w:r>
        <w:rPr>
          <w:rFonts w:ascii="Times New Roman;serif" w:hAnsi="Times New Roman;serif"/>
          <w:b w:val="false"/>
          <w:color w:val="000000"/>
          <w:sz w:val="20"/>
        </w:rPr>
        <w:t>Eric Nierenberg                </w:t>
      </w:r>
      <w:r>
        <w:rPr>
          <w:color w:val="000000"/>
        </w:rPr>
        <w:t>    </w:t>
      </w:r>
      <w:r>
        <w:rPr>
          <w:rFonts w:ascii="Times New Roman;serif" w:hAnsi="Times New Roman;serif"/>
          <w:b w:val="false"/>
          <w:color w:val="000000"/>
          <w:sz w:val="20"/>
        </w:rPr>
        <w:t>Nicholas Manganaro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Charles River Associates                Sharon Merrill Advisors</w:t>
        <w:br/>
        <w:t>investor@crai.com                 crai@investorrelations.com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617-425-3020                     617-542-5300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CHARLES RIVER ASSOCIATES (CRA) ANNOUNCES INCREASE AND EXTENSION OF CREDIT FACILITY</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BOSTON--(BUSINESS WIRE)--Aug. 6, 2026--</w:t>
      </w:r>
      <w:r>
        <w:rPr>
          <w:rFonts w:ascii="Times New Roman;serif" w:hAnsi="Times New Roman;serif"/>
          <w:b w:val="false"/>
          <w:color w:val="000000"/>
          <w:sz w:val="20"/>
          <w:u w:val="single"/>
        </w:rPr>
        <w:t>Charles River Associates</w:t>
      </w:r>
      <w:r>
        <w:rPr>
          <w:color w:val="000000"/>
        </w:rPr>
        <w:t> </w:t>
      </w:r>
      <w:r>
        <w:rPr>
          <w:rFonts w:ascii="Times New Roman;serif" w:hAnsi="Times New Roman;serif"/>
          <w:b w:val="false"/>
          <w:color w:val="000000"/>
          <w:sz w:val="20"/>
        </w:rPr>
        <w:t>(NASDAQ: CRAI), a worldwide leader in providing </w:t>
      </w:r>
      <w:r>
        <w:rPr>
          <w:rFonts w:ascii="Times New Roman;serif" w:hAnsi="Times New Roman;serif"/>
          <w:b w:val="false"/>
          <w:color w:val="000000"/>
          <w:sz w:val="20"/>
          <w:u w:val="single"/>
        </w:rPr>
        <w:t>economic, financial, and management consulting services</w:t>
      </w:r>
      <w:r>
        <w:rPr>
          <w:rFonts w:ascii="Times New Roman;serif" w:hAnsi="Times New Roman;serif"/>
          <w:b w:val="false"/>
          <w:color w:val="000000"/>
          <w:sz w:val="20"/>
        </w:rPr>
        <w:t>, today announced an increase and extension to its existing credit facility with a bank syndicate comprised of six lenders. The five-year credit facility is for an aggregate principal amount of up to $400 million, consisting of a $75 million term loan and a $325 million revolving credit facility. The revolving credit facility may be decreased at CRA’s option to $250 million for the period of July 16 to January 15 of each year, during which time CRA’s working capital needs are typically diminished. Additionally, for the period of January 16 to July 15 of each year, CRA may elect not to increase the revolving credit facility from $250 million to $325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facility amends and increases CRA’s existing revolving credit facility, which was for an aggregate principal amount of up to $300 million and was scheduled to mature in August 2027. Proceeds will be used to repay outstanding amounts under the existing credit facility and will provide working capital to drive continued growth in the business and fund other general corporate purposes.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As CRA’s credit facility approached its final year before maturity, we looked to the capital markets to maintain financial flexibility and support CRA’s continuing long-term growth,” said Paul Maleh, CRA’s President and Chief Executive Officer. “We are pleased to welcome BMO and M&amp;T Bank to CRA’s team of banking partners, which has long included Bank of America and Citizens Financial Group, as well as Eastern Bank and Beacon Bank &amp; Trust. With the support of this expanded bank group, the credit facility will enable CRA to continue investing in the business for profitable growth in the years ahead.”</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color w:val="000000"/>
          <w:sz w:val="20"/>
        </w:rPr>
        <w:t>About Charles River Associates (CRA)</w:t>
      </w:r>
      <w:r>
        <w:rPr>
          <w:rFonts w:ascii="Times New Roman;serif" w:hAnsi="Times New Roman;serif"/>
          <w:b w:val="false"/>
          <w:color w:val="000000"/>
          <w:sz w:val="20"/>
        </w:rPr>
        <w:br/>
        <w:t>Charles River Associates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is a leading global consulting firm specializing </w:t>
      </w:r>
      <w:r>
        <w:rPr>
          <w:rFonts w:ascii="Times New Roman;serif" w:hAnsi="Times New Roman;serif"/>
          <w:b w:val="false"/>
          <w:color w:val="000000"/>
          <w:sz w:val="20"/>
          <w:u w:val="single"/>
        </w:rPr>
        <w:t>in economic, financial, and management consulting services</w:t>
      </w:r>
      <w:r>
        <w:rPr>
          <w:rFonts w:ascii="Times New Roman;serif" w:hAnsi="Times New Roman;serif"/>
          <w:b w:val="false"/>
          <w:color w:val="000000"/>
          <w:sz w:val="20"/>
        </w:rPr>
        <w:t>. CRA advises clients on economic and financial matters pertaining to litigation and regulatory proceedings, and guides corporations through critical business strategy and performance-related issues. Since 1965, clients have engaged CRA for its unique combination of functional expertise and industry knowledge, and for its objective solutions to complex problems. Headquartered in Boston, CRA has offices throughout the world. Detailed information about Charles River Associates, a registered trade name of CRA International, Inc., is available at </w:t>
      </w:r>
      <w:r>
        <w:rPr>
          <w:rFonts w:ascii="Times New Roman;serif" w:hAnsi="Times New Roman;serif"/>
          <w:b w:val="false"/>
          <w:color w:val="000000"/>
          <w:sz w:val="20"/>
          <w:u w:val="single"/>
        </w:rPr>
        <w:t>www.crai.com</w:t>
      </w:r>
      <w:r>
        <w:rPr>
          <w:rFonts w:ascii="Times New Roman;serif" w:hAnsi="Times New Roman;serif"/>
          <w:b w:val="false"/>
          <w:color w:val="000000"/>
          <w:sz w:val="20"/>
        </w:rPr>
        <w:t>. Follow us on </w:t>
      </w:r>
      <w:r>
        <w:rPr>
          <w:rFonts w:ascii="Times New Roman;serif" w:hAnsi="Times New Roman;serif"/>
          <w:b w:val="false"/>
          <w:color w:val="000000"/>
          <w:sz w:val="20"/>
          <w:u w:val="single"/>
        </w:rPr>
        <w:t>LinkedIn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Instagram</w:t>
      </w:r>
      <w:r>
        <w:rPr>
          <w:rFonts w:ascii="Times New Roman;serif" w:hAnsi="Times New Roman;serif"/>
          <w:b w:val="false"/>
          <w:color w:val="000000"/>
          <w:sz w:val="20"/>
        </w:rPr>
        <w:t>, and </w:t>
      </w:r>
      <w:r>
        <w:rPr>
          <w:rFonts w:ascii="Times New Roman;serif" w:hAnsi="Times New Roman;serif"/>
          <w:b w:val="false"/>
          <w:color w:val="000000"/>
          <w:sz w:val="20"/>
          <w:u w:val="single"/>
        </w:rPr>
        <w:t>Facebook</w:t>
      </w:r>
      <w:r>
        <w:rPr>
          <w:rFonts w:ascii="Times New Roman;serif" w:hAnsi="Times New Roman;serif"/>
          <w:b w:val="false"/>
          <w:color w:val="000000"/>
          <w:sz w:val="20"/>
        </w:rPr>
        <w:t>.</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SAFE HARBOR STATEMENT</w:t>
      </w:r>
    </w:p>
    <w:p>
      <w:pPr>
        <w:pStyle w:val="TextBody"/>
        <w:bidi w:val="0"/>
        <w:spacing w:lineRule="auto" w:line="319"/>
        <w:jc w:val="left"/>
        <w:rPr>
          <w:rFonts w:ascii="Times New Roman;serif" w:hAnsi="Times New Roman;serif"/>
          <w:b w:val="false"/>
          <w:i/>
          <w:color w:val="000000"/>
          <w:sz w:val="20"/>
        </w:rPr>
      </w:pPr>
      <w:r>
        <w:rPr>
          <w:rFonts w:ascii="Times New Roman;serif" w:hAnsi="Times New Roman;serif"/>
          <w:b w:val="false"/>
          <w:i/>
          <w:color w:val="000000"/>
          <w:sz w:val="20"/>
        </w:rPr>
        <w:t xml:space="preserve">Statements in this press release concerning our expectations regarding the use of the Company’s credit facility are “forward-looking” statements as defined in Section 21 of the Securities Exchange Act of 1934, as amended. These statements are based upon our current expectations and various underlying assumptions. Although we believe there is a reasonable basis for these statements and assumptions, and these statements are expressed in good faith, these statements are subject to a number of additional factors and uncertainties. These factors include, but are not limited to, the possibility that the demand for our services may decline as a result of changes in general and industry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Times New Roman;serif" w:hAnsi="Times New Roman;serif"/>
          <w:b w:val="false"/>
          <w:i/>
          <w:color w:val="000000"/>
          <w:sz w:val="20"/>
        </w:rPr>
      </w:pPr>
      <w:r>
        <w:rPr>
          <w:rFonts w:ascii="Times New Roman;serif" w:hAnsi="Times New Roman;serif"/>
          <w:b w:val="false"/>
          <w:i/>
          <w:color w:val="000000"/>
          <w:sz w:val="20"/>
        </w:rPr>
        <w:t>specific economic conditions; the timing of engagements for our services; the effects of competitive services and pricing; the development and use of artificial intelligence; our ability to attract and retain key employee or non-employee experts; the inability to integrate and utilize existing consultants and personnel; the decline or reduction in project work or activity; global economic conditions including less stable political and economic environments; foreign currency exchange rate fluctuations; financing risks, including the availability of, and costs associated with, sources of liquidity; unanticipated expenses and liabilities; risks inherent in international operations; changes in tax law or accounting standards, rules, and regulations; our ability to collect on forgivable loans should any become due; and professional and other legal liability or settlements. Additional risks and uncertainties are discussed in our periodic filings with the Securities and Exchange Commission under the heading “Risk Factors.” The inclusion of such forward-looking information should not be regarded as our representation that the future events, plans, or expectations contemplated will be achieved. Except as may be required by law, we undertake no obligation to update any forward-looking statements after the date of this press release, and we do not intend to do so.</w:t>
      </w:r>
    </w:p>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9103</Words>
  <Characters>48311</Characters>
  <CharactersWithSpaces>56371</CharactersWithSpaces>
  <Paragraphs>2000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