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48787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487870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Langan Brian</w:t>
              </w:r>
            </w:hyperlink>
          </w:p>
        </w:tc>
        <w:tc>
          <w:tcPr>
            <w:tcW w:w="1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4"/>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CRA INTERNATIONAL,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CRAI</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200" w:type="dxa"/>
            <w:vAlign w:val="bottom"/>
            <w:gridSpan w:val="3"/>
            <w:vMerge w:val="continue"/>
          </w:tcPr>
          <w:p>
            <w:pPr>
              <w:spacing w:after="0"/>
              <w:rPr>
                <w:sz w:val="4"/>
                <w:szCs w:val="4"/>
                <w:color w:val="auto"/>
              </w:rPr>
            </w:pPr>
          </w:p>
        </w:tc>
        <w:tc>
          <w:tcPr>
            <w:tcW w:w="126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520" w:type="dxa"/>
            <w:vAlign w:val="bottom"/>
            <w:tcBorders>
              <w:top w:val="single" w:sz="8" w:color="0000EE"/>
            </w:tcBorders>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120" w:type="dxa"/>
            <w:vAlign w:val="bottom"/>
            <w:tcBorders>
              <w:top w:val="single" w:sz="8" w:color="0000EE"/>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260" w:type="dxa"/>
            <w:vAlign w:val="bottom"/>
            <w:tcBorders>
              <w:bottom w:val="single" w:sz="8" w:color="9A9A9A"/>
            </w:tcBorders>
          </w:tcPr>
          <w:p>
            <w:pPr>
              <w:spacing w:after="0"/>
              <w:rPr>
                <w:sz w:val="17"/>
                <w:szCs w:val="17"/>
                <w:color w:val="auto"/>
              </w:rPr>
            </w:pPr>
          </w:p>
        </w:tc>
        <w:tc>
          <w:tcPr>
            <w:tcW w:w="11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200" w:type="dxa"/>
            <w:vAlign w:val="bottom"/>
            <w:tcBorders>
              <w:top w:val="single" w:sz="8" w:color="EEEEEE"/>
            </w:tcBorders>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tcBorders>
              <w:top w:val="single" w:sz="8" w:color="EEEEEE"/>
            </w:tcBorders>
            <w:vMerge w:val="restart"/>
          </w:tcPr>
          <w:p>
            <w:pPr>
              <w:ind w:left="40"/>
              <w:spacing w:after="0"/>
              <w:rPr>
                <w:sz w:val="20"/>
                <w:szCs w:val="20"/>
                <w:color w:val="auto"/>
              </w:rPr>
            </w:pPr>
            <w:r>
              <w:rPr>
                <w:rFonts w:ascii="Arial" w:cs="Arial" w:eastAsia="Arial" w:hAnsi="Arial"/>
                <w:sz w:val="13"/>
                <w:szCs w:val="13"/>
                <w:color w:val="auto"/>
              </w:rPr>
              <w:t>(First)</w:t>
            </w:r>
          </w:p>
        </w:tc>
        <w:tc>
          <w:tcPr>
            <w:tcW w:w="11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3"/>
                <w:szCs w:val="13"/>
                <w:color w:val="auto"/>
              </w:rPr>
            </w:pPr>
          </w:p>
        </w:tc>
        <w:tc>
          <w:tcPr>
            <w:tcW w:w="180" w:type="dxa"/>
            <w:vAlign w:val="bottom"/>
            <w:tcBorders>
              <w:top w:val="single" w:sz="8" w:color="2C2C2C"/>
            </w:tcBorders>
            <w:gridSpan w:val="2"/>
          </w:tcPr>
          <w:p>
            <w:pPr>
              <w:ind w:left="60"/>
              <w:spacing w:after="0"/>
              <w:rPr>
                <w:sz w:val="20"/>
                <w:szCs w:val="20"/>
                <w:color w:val="auto"/>
              </w:rPr>
            </w:pPr>
            <w:r>
              <w:rPr>
                <w:rFonts w:ascii="Arial" w:cs="Arial" w:eastAsia="Arial" w:hAnsi="Arial"/>
                <w:sz w:val="13"/>
                <w:szCs w:val="13"/>
                <w:color w:val="auto"/>
                <w:w w:val="91"/>
              </w:rPr>
              <w:t>3.</w:t>
            </w:r>
          </w:p>
        </w:tc>
        <w:tc>
          <w:tcPr>
            <w:tcW w:w="3640" w:type="dxa"/>
            <w:vAlign w:val="bottom"/>
            <w:tcBorders>
              <w:top w:val="single" w:sz="8" w:color="2C2C2C"/>
            </w:tcBorders>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200" w:type="dxa"/>
            <w:vAlign w:val="bottom"/>
            <w:gridSpan w:val="3"/>
            <w:vMerge w:val="continue"/>
          </w:tcPr>
          <w:p>
            <w:pPr>
              <w:spacing w:after="0"/>
              <w:rPr>
                <w:sz w:val="9"/>
                <w:szCs w:val="9"/>
                <w:color w:val="auto"/>
              </w:rPr>
            </w:pPr>
          </w:p>
        </w:tc>
        <w:tc>
          <w:tcPr>
            <w:tcW w:w="126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2800" w:type="dxa"/>
            <w:vAlign w:val="bottom"/>
            <w:gridSpan w:val="4"/>
            <w:vMerge w:val="restart"/>
          </w:tcPr>
          <w:p>
            <w:pPr>
              <w:ind w:left="160"/>
              <w:spacing w:after="0" w:line="173" w:lineRule="exact"/>
              <w:rPr>
                <w:sz w:val="20"/>
                <w:szCs w:val="20"/>
                <w:color w:val="auto"/>
              </w:rPr>
            </w:pPr>
            <w:r>
              <w:rPr>
                <w:rFonts w:ascii="Times New Roman" w:cs="Times New Roman" w:eastAsia="Times New Roman" w:hAnsi="Times New Roman"/>
                <w:sz w:val="17"/>
                <w:szCs w:val="17"/>
                <w:color w:val="0000FF"/>
              </w:rPr>
              <w:t>06/12/2026</w:t>
            </w:r>
          </w:p>
        </w:tc>
        <w:tc>
          <w:tcPr>
            <w:tcW w:w="1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180" w:type="dxa"/>
            <w:vAlign w:val="bottom"/>
          </w:tcPr>
          <w:p>
            <w:pPr>
              <w:spacing w:after="0"/>
              <w:rPr>
                <w:sz w:val="5"/>
                <w:szCs w:val="5"/>
                <w:color w:val="auto"/>
              </w:rPr>
            </w:pPr>
          </w:p>
        </w:tc>
        <w:tc>
          <w:tcPr>
            <w:tcW w:w="2800" w:type="dxa"/>
            <w:vAlign w:val="bottom"/>
            <w:gridSpan w:val="4"/>
            <w:vMerge w:val="continue"/>
          </w:tcPr>
          <w:p>
            <w:pPr>
              <w:spacing w:after="0"/>
              <w:rPr>
                <w:sz w:val="5"/>
                <w:szCs w:val="5"/>
                <w:color w:val="auto"/>
              </w:rPr>
            </w:pPr>
          </w:p>
        </w:tc>
        <w:tc>
          <w:tcPr>
            <w:tcW w:w="112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200 CLARENDON STREET</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jc w:val="center"/>
        <w:ind w:right="163"/>
        <w:spacing w:after="0"/>
        <w:rPr>
          <w:sz w:val="20"/>
          <w:szCs w:val="20"/>
          <w:color w:val="auto"/>
        </w:rPr>
      </w:pPr>
      <w:r>
        <w:rPr>
          <w:rFonts w:ascii="Times New Roman" w:cs="Times New Roman" w:eastAsia="Times New Roman" w:hAnsi="Times New Roman"/>
          <w:sz w:val="17"/>
          <w:szCs w:val="17"/>
          <w:color w:val="0000FF"/>
        </w:rPr>
        <w:t>See Remarks</w:t>
      </w:r>
    </w:p>
    <w:p>
      <w:pPr>
        <w:spacing w:after="0" w:line="313" w:lineRule="exact"/>
        <w:rPr>
          <w:sz w:val="20"/>
          <w:szCs w:val="20"/>
          <w:color w:val="auto"/>
        </w:rPr>
      </w:pPr>
    </w:p>
    <w:p>
      <w:pPr>
        <w:sectPr>
          <w:pgSz w:w="11900" w:h="16838" w:orient="portrait"/>
          <w:cols w:equalWidth="0" w:num="2">
            <w:col w:w="7660" w:space="63"/>
            <w:col w:w="3357"/>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4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700" w:type="dxa"/>
            <w:vAlign w:val="bottom"/>
            <w:gridSpan w:val="8"/>
            <w:vMerge w:val="restart"/>
          </w:tcPr>
          <w:p>
            <w:pPr>
              <w:jc w:val="center"/>
              <w:ind w:right="40"/>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vMerge w:val="restart"/>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3700" w:type="dxa"/>
            <w:vAlign w:val="bottom"/>
            <w:gridSpan w:val="8"/>
            <w:vMerge w:val="continue"/>
          </w:tcPr>
          <w:p>
            <w:pPr>
              <w:spacing w:after="0"/>
              <w:rPr>
                <w:sz w:val="7"/>
                <w:szCs w:val="7"/>
                <w:color w:val="auto"/>
              </w:rPr>
            </w:pPr>
          </w:p>
        </w:tc>
        <w:tc>
          <w:tcPr>
            <w:tcW w:w="364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02116</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6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14"/>
                <w:szCs w:val="14"/>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64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114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680" w:type="dxa"/>
            <w:vAlign w:val="bottom"/>
            <w:tcBorders>
              <w:bottom w:val="single" w:sz="8" w:color="2C2C2C"/>
            </w:tcBorders>
            <w:gridSpan w:val="4"/>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1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8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w w:val="99"/>
              </w:rPr>
              <w:t>Disposed Of (D) (Instr. 3, 4 and</w:t>
            </w:r>
          </w:p>
        </w:tc>
        <w:tc>
          <w:tcPr>
            <w:tcW w:w="1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60" w:type="dxa"/>
            <w:vAlign w:val="bottom"/>
          </w:tcPr>
          <w:p>
            <w:pPr>
              <w:spacing w:after="0"/>
              <w:rPr>
                <w:sz w:val="11"/>
                <w:szCs w:val="11"/>
                <w:color w:val="auto"/>
              </w:rPr>
            </w:pPr>
          </w:p>
        </w:tc>
        <w:tc>
          <w:tcPr>
            <w:tcW w:w="96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7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40" w:type="dxa"/>
            <w:vAlign w:val="bottom"/>
            <w:tcBorders>
              <w:bottom w:val="single" w:sz="8" w:color="2C2C2C"/>
            </w:tcBorders>
            <w:gridSpan w:val="5"/>
          </w:tcPr>
          <w:p>
            <w:pPr>
              <w:spacing w:after="0"/>
              <w:rPr>
                <w:sz w:val="7"/>
                <w:szCs w:val="7"/>
                <w:color w:val="auto"/>
              </w:rPr>
            </w:pPr>
          </w:p>
        </w:tc>
        <w:tc>
          <w:tcPr>
            <w:tcW w:w="1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0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ind w:left="16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20" w:type="dxa"/>
            <w:vAlign w:val="bottom"/>
            <w:gridSpan w:val="2"/>
          </w:tcPr>
          <w:p>
            <w:pPr>
              <w:ind w:left="16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w w:val="94"/>
              </w:rPr>
              <w:t>2.8054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jc w:val="right"/>
              <w:ind w:right="135"/>
              <w:spacing w:after="0" w:line="129" w:lineRule="exact"/>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jc w:val="right"/>
              <w:ind w:right="1"/>
              <w:spacing w:after="0" w:line="129" w:lineRule="exact"/>
              <w:rPr>
                <w:sz w:val="20"/>
                <w:szCs w:val="20"/>
                <w:color w:val="auto"/>
              </w:rPr>
            </w:pPr>
            <w:r>
              <w:rPr>
                <w:rFonts w:ascii="Times New Roman" w:cs="Times New Roman" w:eastAsia="Times New Roman" w:hAnsi="Times New Roman"/>
                <w:sz w:val="13"/>
                <w:szCs w:val="13"/>
                <w:color w:val="0000FF"/>
              </w:rPr>
              <w:t>2.8054</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gridSpan w:val="2"/>
          </w:tcPr>
          <w:p>
            <w:pPr>
              <w:ind w:left="2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jc w:val="right"/>
              <w:ind w:right="162"/>
              <w:spacing w:after="0" w:line="129" w:lineRule="exact"/>
              <w:rPr>
                <w:sz w:val="20"/>
                <w:szCs w:val="20"/>
                <w:color w:val="auto"/>
              </w:rPr>
            </w:pPr>
            <w:r>
              <w:rPr>
                <w:rFonts w:ascii="Times New Roman" w:cs="Times New Roman" w:eastAsia="Times New Roman" w:hAnsi="Times New Roman"/>
                <w:sz w:val="13"/>
                <w:szCs w:val="13"/>
                <w:color w:val="0000FF"/>
              </w:rPr>
              <w:t>743.3708</w:t>
            </w: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160" w:type="dxa"/>
            <w:vAlign w:val="bottom"/>
          </w:tcPr>
          <w:p>
            <w:pPr>
              <w:spacing w:after="0"/>
              <w:rPr>
                <w:sz w:val="15"/>
                <w:szCs w:val="15"/>
                <w:color w:val="auto"/>
              </w:rPr>
            </w:pPr>
          </w:p>
        </w:tc>
        <w:tc>
          <w:tcPr>
            <w:tcW w:w="540" w:type="dxa"/>
            <w:vAlign w:val="bottom"/>
            <w:vMerge w:val="restart"/>
          </w:tcPr>
          <w:p>
            <w:pPr>
              <w:ind w:left="12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35"/>
              <w:spacing w:after="0"/>
              <w:rPr>
                <w:sz w:val="20"/>
                <w:szCs w:val="20"/>
                <w:color w:val="auto"/>
              </w:rPr>
            </w:pPr>
            <w:r>
              <w:rPr>
                <w:rFonts w:ascii="Times New Roman" w:cs="Times New Roman" w:eastAsia="Times New Roman" w:hAnsi="Times New Roman"/>
                <w:sz w:val="17"/>
                <w:szCs w:val="17"/>
                <w:color w:val="0000FF"/>
              </w:rPr>
              <w:t>3.451</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restart"/>
          </w:tcPr>
          <w:p>
            <w:pPr>
              <w:jc w:val="right"/>
              <w:ind w:right="135"/>
              <w:spacing w:after="0" w:line="142" w:lineRule="exact"/>
              <w:rPr>
                <w:sz w:val="20"/>
                <w:szCs w:val="20"/>
                <w:color w:val="auto"/>
              </w:rPr>
            </w:pPr>
            <w:r>
              <w:rPr>
                <w:rFonts w:ascii="Times New Roman" w:cs="Times New Roman" w:eastAsia="Times New Roman" w:hAnsi="Times New Roman"/>
                <w:sz w:val="13"/>
                <w:szCs w:val="13"/>
                <w:color w:val="0000FF"/>
              </w:rPr>
              <w:t>06/12/2026</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vMerge w:val="restart"/>
          </w:tcPr>
          <w:p>
            <w:pPr>
              <w:jc w:val="right"/>
              <w:ind w:right="41"/>
              <w:spacing w:after="0" w:line="142" w:lineRule="exact"/>
              <w:rPr>
                <w:sz w:val="20"/>
                <w:szCs w:val="20"/>
                <w:color w:val="auto"/>
              </w:rPr>
            </w:pPr>
            <w:r>
              <w:rPr>
                <w:rFonts w:ascii="Times New Roman" w:cs="Times New Roman" w:eastAsia="Times New Roman" w:hAnsi="Times New Roman"/>
                <w:sz w:val="13"/>
                <w:szCs w:val="13"/>
                <w:color w:val="0000FF"/>
              </w:rPr>
              <w:t>3.451</w:t>
            </w:r>
          </w:p>
        </w:tc>
        <w:tc>
          <w:tcPr>
            <w:tcW w:w="34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vMerge w:val="restart"/>
          </w:tcPr>
          <w:p>
            <w:pPr>
              <w:jc w:val="right"/>
              <w:ind w:right="202"/>
              <w:spacing w:after="0" w:line="142" w:lineRule="exact"/>
              <w:rPr>
                <w:sz w:val="20"/>
                <w:szCs w:val="20"/>
                <w:color w:val="auto"/>
              </w:rPr>
            </w:pPr>
            <w:r>
              <w:rPr>
                <w:rFonts w:ascii="Times New Roman" w:cs="Times New Roman" w:eastAsia="Times New Roman" w:hAnsi="Times New Roman"/>
                <w:sz w:val="13"/>
                <w:szCs w:val="13"/>
                <w:color w:val="0000FF"/>
              </w:rPr>
              <w:t>914.451</w:t>
            </w: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-2364740</wp:posOffset>
            </wp:positionV>
            <wp:extent cx="29210" cy="23698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369820"/>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3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(&amp;quot;RSU&amp;quot;) represents a contingent right to receive one share of the Issuer's common stock; vested RSUs are payable in the form of cash, shares of the Issuer's common stock or a combination thereof, except as otherwise indicated below. To the extent vested RSUs are paid in shares of the Issuer's common stock, such shares will be delivered to the reporting person as soon as possible after vesting, but in no event later than two and one-half months after the end of the year in which vesting occurs, subject to the collection of withholding taxes. Dividend equivalent rights accrue with respect to unvested RSUs in the form of additional RSUs (&amp;quot;Dividend Units&amp;quot;) when and as dividends are paid on the Issuer's common stock, and Dividend Units vest on the same dates and in the same relative proportions as the RSUs on which they accrue.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9.3708 Dividend Units, vest in four equal annual installments beginning on August 4, 2026.</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which include an aggregate of 3.4510 Dividend Units, vest in four equal annual installments beginning on April 9, 2027.</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Executive Vice President and Chief Strategy and Business Transformation Officer</w:t>
      </w:r>
    </w:p>
    <w:p>
      <w:pPr>
        <w:spacing w:after="0" w:line="55"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Delia J. Makhlouta, by power</w:t>
            </w:r>
          </w:p>
        </w:tc>
        <w:tc>
          <w:tcPr>
            <w:tcW w:w="200" w:type="dxa"/>
            <w:vAlign w:val="bottom"/>
          </w:tcPr>
          <w:p>
            <w:pPr>
              <w:spacing w:after="0"/>
              <w:rPr>
                <w:sz w:val="17"/>
                <w:szCs w:val="17"/>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8"/>
        </w:trPr>
        <w:tc>
          <w:tcPr>
            <w:tcW w:w="740" w:type="dxa"/>
            <w:vAlign w:val="bottom"/>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of attorney</w:t>
            </w:r>
          </w:p>
        </w:tc>
        <w:tc>
          <w:tcPr>
            <w:tcW w:w="146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740" w:type="dxa"/>
            <w:vAlign w:val="bottom"/>
            <w:tcBorders>
              <w:bottom w:val="single" w:sz="8" w:color="auto"/>
            </w:tcBorders>
            <w:vMerge w:val="continue"/>
          </w:tcPr>
          <w:p>
            <w:pPr>
              <w:spacing w:after="0"/>
              <w:rPr>
                <w:sz w:val="7"/>
                <w:szCs w:val="7"/>
                <w:color w:val="auto"/>
              </w:rPr>
            </w:pPr>
          </w:p>
        </w:tc>
        <w:tc>
          <w:tcPr>
            <w:tcW w:w="146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76000" TargetMode="External"/><Relationship Id="rId14" Type="http://schemas.openxmlformats.org/officeDocument/2006/relationships/hyperlink" Target="http://www.sec.gov/cgi-bin/browse-edgar?action=getcompany&amp;CIK=00010537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2026-06-16T17:04:49Z</dcterms:created>
  <dcterms:modified xsi:type="dcterms:W3CDTF">2026-06-16T17:04:49Z</dcterms:modified>
</cp:coreProperties>
</file>