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90653.xml.htm"/>
      <w:bookmarkStart w:id="1" w:name="ksform406052026_0906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Maleh Paul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134.4754</w:t>
            </w:r>
            <w:r>
              <w:rPr>
                <w:rFonts w:ascii="Times;serif" w:hAnsi="Times;serif"/>
                <w:color w:val="008000"/>
                <w:position w:val="7"/>
                <w:sz w:val="16"/>
                <w:sz w:val="20"/>
                <w:shd w:fill="FFFFFF" w:val="clear"/>
              </w:rPr>
              <w:t>(1)</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135.9903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112,469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136.8585</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142.1699</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111,050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$134.04 to $134.85,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were effected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$135.39 to $136.355,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$136.41 to $137.375,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$142.025 to $142.4675, inclusive. The reporting person undertakes to provide the Issuer, any security holder of the Issuer, or the staff of the Securities and Exchange Commission, upon request, full information regarding the number of shares sold at each separate price within such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9160"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4719</Characters>
  <CharactersWithSpaces>5517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