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40"/>
        <w:jc w:val="center"/>
        <w:rPr/>
      </w:pPr>
      <w:r>
        <w:rPr>
          <w:rFonts w:ascii="Times New Roman;serif" w:hAnsi="Times New Roman;serif"/>
          <w:b/>
          <w:color w:val="000000"/>
          <w:sz w:val="32"/>
        </w:rPr>
        <w:t>FORM</w:t>
      </w:r>
      <w:r>
        <w:rPr>
          <w:color w:val="000000"/>
        </w:rPr>
        <w:t xml:space="preserve"> </w:t>
      </w:r>
      <w:r>
        <w:rPr>
          <w:rFonts w:ascii="Times New Roman;serif" w:hAnsi="Times New Roman;serif"/>
          <w:b/>
          <w:color w:val="000000"/>
          <w:sz w:val="32"/>
        </w:rPr>
        <w:t>10-Q</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w:t>
      </w:r>
    </w:p>
    <w:p>
      <w:pPr>
        <w:pStyle w:val="TextBody"/>
        <w:bidi w:val="0"/>
        <w:spacing w:lineRule="auto" w:line="288" w:before="120" w:after="283"/>
        <w:jc w:val="center"/>
        <w:rPr/>
      </w:pP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120" w:after="283"/>
        <w:jc w:val="center"/>
        <w:rPr/>
      </w:pPr>
      <w:r>
        <w:rPr>
          <w:rFonts w:ascii="Times New Roman;serif" w:hAnsi="Times New Roman;serif"/>
          <w:b/>
          <w:color w:val="000000"/>
          <w:sz w:val="20"/>
        </w:rPr>
        <w:t xml:space="preserve">For the quarterly period ended </w:t>
      </w:r>
      <w:r>
        <w:rPr>
          <w:rFonts w:ascii="Times New Roman;serif" w:hAnsi="Times New Roman;serif"/>
          <w:b w:val="false"/>
          <w:color w:val="000000"/>
          <w:sz w:val="20"/>
        </w:rPr>
        <w:t>July 4,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120" w:after="283"/>
        <w:jc w:val="center"/>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For the transition period from to </w:t>
      </w:r>
    </w:p>
    <w:p>
      <w:pPr>
        <w:pStyle w:val="TextBody"/>
        <w:bidi w:val="0"/>
        <w:spacing w:lineRule="auto" w:line="288" w:before="120" w:after="283"/>
        <w:jc w:val="center"/>
        <w:rPr/>
      </w:pPr>
      <w:r>
        <w:rPr>
          <w:rFonts w:ascii="Times New Roman;serif" w:hAnsi="Times New Roman;serif"/>
          <w:b/>
          <w:color w:val="000000"/>
          <w:sz w:val="18"/>
        </w:rPr>
        <w:t>Commission file number:</w:t>
      </w:r>
      <w:r>
        <w:rPr>
          <w:color w:val="000000"/>
        </w:rPr>
        <w:t xml:space="preserve"> </w:t>
      </w:r>
      <w:r>
        <w:rPr>
          <w:rFonts w:ascii="Times New Roman;serif" w:hAnsi="Times New Roman;serif"/>
          <w:b/>
          <w:color w:val="000000"/>
          <w:sz w:val="18"/>
        </w:rPr>
        <w:t>000-24049</w:t>
      </w:r>
      <w:r>
        <w:rPr>
          <w:color w:val="000000"/>
        </w:rPr>
        <w:t xml:space="preserve"> </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CRA International, Inc.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w:t>
      </w:r>
    </w:p>
    <w:tbl>
      <w:tblPr>
        <w:tblW w:w="5633" w:type="dxa"/>
        <w:jc w:val="left"/>
        <w:tblInd w:w="0" w:type="dxa"/>
        <w:tblLayout w:type="fixed"/>
        <w:tblCellMar>
          <w:top w:w="28" w:type="dxa"/>
          <w:left w:w="28" w:type="dxa"/>
          <w:bottom w:w="28" w:type="dxa"/>
          <w:right w:w="28" w:type="dxa"/>
        </w:tblCellMar>
      </w:tblPr>
      <w:tblGrid>
        <w:gridCol w:w="124"/>
        <w:gridCol w:w="109"/>
        <w:gridCol w:w="109"/>
        <w:gridCol w:w="929"/>
        <w:gridCol w:w="929"/>
        <w:gridCol w:w="932"/>
        <w:gridCol w:w="708"/>
        <w:gridCol w:w="708"/>
        <w:gridCol w:w="71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Massachusetts</w:t>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04-2372210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(State or other jurisdiction of</w:t>
              <w:br/>
              <w:t>incorporation or organization)</w:t>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200 Clarendon Street,</w:t>
            </w:r>
            <w:r>
              <w:rPr>
                <w:color w:val="000000"/>
              </w:rPr>
              <w:t xml:space="preserve"> </w:t>
            </w:r>
            <w:r>
              <w:rPr>
                <w:rFonts w:ascii="Times New Roman;serif" w:hAnsi="Times New Roman;serif"/>
                <w:b/>
                <w:color w:val="000000"/>
                <w:sz w:val="18"/>
              </w:rPr>
              <w:t>Boston,</w:t>
            </w:r>
            <w:r>
              <w:rPr>
                <w:color w:val="000000"/>
              </w:rPr>
              <w:t xml:space="preserve"> </w:t>
            </w:r>
            <w:r>
              <w:rPr>
                <w:rFonts w:ascii="Times New Roman;serif" w:hAnsi="Times New Roman;serif"/>
                <w:b/>
                <w:color w:val="000000"/>
                <w:sz w:val="18"/>
              </w:rPr>
              <w:t>MA</w:t>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02116-5092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 xml:space="preserve">(617) 425-3000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w:t>
      </w:r>
    </w:p>
    <w:p>
      <w:pPr>
        <w:pStyle w:val="TextBody"/>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535" w:type="dxa"/>
        <w:jc w:val="center"/>
        <w:tblInd w:w="0" w:type="dxa"/>
        <w:tblLayout w:type="fixed"/>
        <w:tblCellMar>
          <w:top w:w="28" w:type="dxa"/>
          <w:left w:w="28" w:type="dxa"/>
          <w:bottom w:w="28" w:type="dxa"/>
          <w:right w:w="28" w:type="dxa"/>
        </w:tblCellMar>
      </w:tblPr>
      <w:tblGrid>
        <w:gridCol w:w="124"/>
        <w:gridCol w:w="109"/>
        <w:gridCol w:w="109"/>
        <w:gridCol w:w="723"/>
        <w:gridCol w:w="723"/>
        <w:gridCol w:w="728"/>
        <w:gridCol w:w="109"/>
        <w:gridCol w:w="109"/>
        <w:gridCol w:w="109"/>
        <w:gridCol w:w="519"/>
        <w:gridCol w:w="519"/>
        <w:gridCol w:w="521"/>
        <w:gridCol w:w="109"/>
        <w:gridCol w:w="109"/>
        <w:gridCol w:w="109"/>
        <w:gridCol w:w="1143"/>
        <w:gridCol w:w="1143"/>
        <w:gridCol w:w="114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CRAI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88" w:before="120" w:after="283"/>
        <w:ind w:left="0" w:right="0" w:firstLine="72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88" w:before="12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24"/>
        <w:gridCol w:w="109"/>
        <w:gridCol w:w="109"/>
        <w:gridCol w:w="417"/>
        <w:gridCol w:w="417"/>
        <w:gridCol w:w="419"/>
        <w:gridCol w:w="109"/>
        <w:gridCol w:w="109"/>
        <w:gridCol w:w="109"/>
        <w:gridCol w:w="109"/>
        <w:gridCol w:w="109"/>
        <w:gridCol w:w="109"/>
        <w:gridCol w:w="363"/>
        <w:gridCol w:w="363"/>
        <w:gridCol w:w="365"/>
        <w:gridCol w:w="109"/>
        <w:gridCol w:w="109"/>
        <w:gridCol w:w="109"/>
        <w:gridCol w:w="109"/>
        <w:gridCol w:w="109"/>
        <w:gridCol w:w="109"/>
        <w:gridCol w:w="468"/>
        <w:gridCol w:w="468"/>
        <w:gridCol w:w="470"/>
        <w:gridCol w:w="109"/>
        <w:gridCol w:w="109"/>
        <w:gridCol w:w="109"/>
        <w:gridCol w:w="109"/>
        <w:gridCol w:w="109"/>
        <w:gridCol w:w="109"/>
        <w:gridCol w:w="459"/>
        <w:gridCol w:w="459"/>
        <w:gridCol w:w="461"/>
        <w:gridCol w:w="109"/>
        <w:gridCol w:w="109"/>
        <w:gridCol w:w="109"/>
        <w:gridCol w:w="109"/>
        <w:gridCol w:w="109"/>
        <w:gridCol w:w="109"/>
        <w:gridCol w:w="469"/>
        <w:gridCol w:w="469"/>
        <w:gridCol w:w="471"/>
        <w:gridCol w:w="109"/>
        <w:gridCol w:w="109"/>
        <w:gridCol w:w="109"/>
        <w:gridCol w:w="109"/>
        <w:gridCol w:w="109"/>
        <w:gridCol w:w="1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20" w:after="283"/>
        <w:ind w:left="0" w:right="0" w:firstLine="720"/>
        <w:jc w:val="left"/>
        <w:rPr/>
      </w:pPr>
      <w:r>
        <w:rPr>
          <w:rFonts w:ascii="Times New Roman;serif" w:hAnsi="Times New Roman;serif"/>
          <w:b w:val="false"/>
          <w:color w:val="000000"/>
          <w:sz w:val="18"/>
        </w:rPr>
        <w:t xml:space="preserve">Indicate by check mark whether the registrant is a shell company (as defined in Rule 12b-2 of the Exchange Act). Yes ☐ </w:t>
      </w:r>
      <w:r>
        <w:rPr>
          <w:rFonts w:ascii="Times New Roman;serif" w:hAnsi="Times New Roman;serif"/>
          <w:b w:val="false"/>
          <w:color w:val="000000"/>
          <w:sz w:val="16"/>
        </w:rPr>
        <w:t>No </w:t>
      </w:r>
      <w:r>
        <w:rPr>
          <w:color w:val="000000"/>
        </w:rPr>
        <w:t>☒</w:t>
      </w:r>
    </w:p>
    <w:p>
      <w:pPr>
        <w:pStyle w:val="TextBody"/>
        <w:bidi w:val="0"/>
        <w:spacing w:lineRule="auto" w:line="288" w:before="12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Indicate the number of shares outstanding of each of the issuer’s classes of common stock, as of the latest practicable date.</w:t>
      </w:r>
    </w:p>
    <w:tbl>
      <w:tblPr>
        <w:tblW w:w="6230" w:type="dxa"/>
        <w:jc w:val="left"/>
        <w:tblInd w:w="0" w:type="dxa"/>
        <w:tblLayout w:type="fixed"/>
        <w:tblCellMar>
          <w:top w:w="28" w:type="dxa"/>
          <w:left w:w="28" w:type="dxa"/>
          <w:bottom w:w="28" w:type="dxa"/>
          <w:right w:w="28" w:type="dxa"/>
        </w:tblCellMar>
      </w:tblPr>
      <w:tblGrid>
        <w:gridCol w:w="124"/>
        <w:gridCol w:w="109"/>
        <w:gridCol w:w="109"/>
        <w:gridCol w:w="950"/>
        <w:gridCol w:w="950"/>
        <w:gridCol w:w="965"/>
        <w:gridCol w:w="109"/>
        <w:gridCol w:w="109"/>
        <w:gridCol w:w="109"/>
        <w:gridCol w:w="774"/>
        <w:gridCol w:w="774"/>
        <w:gridCol w:w="77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Outstanding at July 31,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no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6,276,860 shares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CRA International,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546"/>
        <w:gridCol w:w="427"/>
        <w:gridCol w:w="427"/>
        <w:gridCol w:w="2923"/>
        <w:gridCol w:w="2746"/>
        <w:gridCol w:w="2761"/>
        <w:gridCol w:w="109"/>
        <w:gridCol w:w="109"/>
        <w:gridCol w:w="157"/>
      </w:tblGrid>
      <w:tr>
        <w:trPr/>
        <w:tc>
          <w:tcPr>
            <w:tcW w:w="5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10">
              <w:r>
                <w:rPr>
                  <w:rStyle w:val="InternetLink"/>
                  <w:rFonts w:ascii="Times New Roman;serif" w:hAnsi="Times New Roman;serif"/>
                  <w:b/>
                  <w:strike w:val="false"/>
                  <w:dstrike w:val="false"/>
                  <w:color w:val="000000"/>
                  <w:sz w:val="20"/>
                  <w:u w:val="none"/>
                  <w:effect w:val="none"/>
                </w:rPr>
                <w:t>PART I. FINANCIAL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13">
              <w:r>
                <w:rPr>
                  <w:rStyle w:val="InternetLink"/>
                  <w:rFonts w:ascii="Times New Roman;serif" w:hAnsi="Times New Roman;serif"/>
                  <w:b w:val="false"/>
                  <w:color w:val="0000FF"/>
                  <w:sz w:val="20"/>
                  <w:u w:val="single"/>
                </w:rPr>
                <w:t>ITEM 1.</w:t>
              </w:r>
            </w:hyperlink>
          </w:p>
        </w:tc>
        <w:tc>
          <w:tcPr>
            <w:tcW w:w="84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13">
              <w:r>
                <w:rPr>
                  <w:rStyle w:val="InternetLink"/>
                  <w:rFonts w:ascii="Times New Roman;serif" w:hAnsi="Times New Roman;serif"/>
                  <w:b w:val="false"/>
                  <w:color w:val="0000FF"/>
                  <w:sz w:val="20"/>
                  <w:u w:val="single"/>
                </w:rPr>
                <w:t>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e927d478134c2185ffcb07ad0c4243_13">
              <w:r>
                <w:rPr>
                  <w:rStyle w:val="InternetLink"/>
                  <w:rFonts w:ascii="Times New Roman;serif" w:hAnsi="Times New Roman;serif"/>
                  <w:b w:val="false"/>
                  <w:color w:val="0000FF"/>
                  <w:sz w:val="20"/>
                  <w:u w:val="single"/>
                </w:rPr>
                <w:t>3</w:t>
              </w:r>
            </w:hyperlink>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16">
              <w:r>
                <w:rPr>
                  <w:rStyle w:val="InternetLink"/>
                  <w:rFonts w:ascii="Times New Roman;serif" w:hAnsi="Times New Roman;serif"/>
                  <w:b w:val="false"/>
                  <w:color w:val="0000FF"/>
                  <w:sz w:val="20"/>
                  <w:u w:val="single"/>
                </w:rPr>
                <w:t>Condensed Consolidated Statements of Operations (unaudited)—Fiscal Quarters and Fiscal Year-to-Date Periods Ended July 4, 2026 and June 28, 2025</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e927d478134c2185ffcb07ad0c4243_16">
              <w:r>
                <w:rPr>
                  <w:rStyle w:val="InternetLink"/>
                  <w:rFonts w:ascii="Times New Roman;serif" w:hAnsi="Times New Roman;serif"/>
                  <w:b w:val="false"/>
                  <w:color w:val="0000FF"/>
                  <w:sz w:val="20"/>
                  <w:u w:val="single"/>
                </w:rPr>
                <w:t>3</w:t>
              </w:r>
            </w:hyperlink>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e927d478134c2185ffcb07ad0c4243_19">
              <w:r>
                <w:rPr>
                  <w:rStyle w:val="InternetLink"/>
                  <w:rFonts w:ascii="Times New Roman;serif" w:hAnsi="Times New Roman;serif"/>
                  <w:b w:val="false"/>
                  <w:color w:val="0000FF"/>
                  <w:sz w:val="20"/>
                  <w:u w:val="single"/>
                </w:rPr>
                <w:t>Condensed Consolidated Statements of Comprehensive Income (unaudited)—Fiscal Quarters and Fiscal Year-to-Date Periods Ended July 4, 2026 and June 28, 2025</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e927d478134c2185ffcb07ad0c4243_19">
              <w:r>
                <w:rPr>
                  <w:rStyle w:val="InternetLink"/>
                  <w:rFonts w:ascii="Times New Roman;serif" w:hAnsi="Times New Roman;serif"/>
                  <w:b w:val="false"/>
                  <w:color w:val="0000FF"/>
                  <w:sz w:val="20"/>
                  <w:u w:val="single"/>
                </w:rPr>
                <w:t>4</w:t>
              </w:r>
            </w:hyperlink>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22">
              <w:r>
                <w:rPr>
                  <w:rStyle w:val="InternetLink"/>
                  <w:rFonts w:ascii="Times New Roman;serif" w:hAnsi="Times New Roman;serif"/>
                  <w:b w:val="false"/>
                  <w:color w:val="000080"/>
                  <w:sz w:val="20"/>
                  <w:u w:val="single"/>
                </w:rPr>
                <w:t>Condensed Consolidated Balance Sheets (unaudited)—</w:t>
              </w:r>
            </w:hyperlink>
            <w:hyperlink w:anchor="i86e927d478134c2185ffcb07ad0c4243_22">
              <w:r>
                <w:rPr>
                  <w:rStyle w:val="InternetLink"/>
                  <w:rFonts w:ascii="Times New Roman;serif" w:hAnsi="Times New Roman;serif"/>
                  <w:b w:val="false"/>
                  <w:color w:val="000080"/>
                  <w:sz w:val="20"/>
                  <w:u w:val="single"/>
                </w:rPr>
                <w:t>July</w:t>
              </w:r>
            </w:hyperlink>
            <w:hyperlink w:anchor="i86e927d478134c2185ffcb07ad0c4243_22">
              <w:r>
                <w:rPr>
                  <w:rStyle w:val="InternetLink"/>
                  <w:rFonts w:ascii="Times New Roman;serif" w:hAnsi="Times New Roman;serif"/>
                  <w:b w:val="false"/>
                  <w:color w:val="000080"/>
                  <w:sz w:val="20"/>
                  <w:u w:val="single"/>
                </w:rPr>
                <w:t xml:space="preserve"> 4, 2026 and January 3, 2026</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e927d478134c2185ffcb07ad0c4243_22">
              <w:r>
                <w:rPr>
                  <w:rStyle w:val="InternetLink"/>
                  <w:rFonts w:ascii="Times New Roman;serif" w:hAnsi="Times New Roman;serif"/>
                  <w:b w:val="false"/>
                  <w:color w:val="0000FF"/>
                  <w:sz w:val="20"/>
                  <w:u w:val="single"/>
                </w:rPr>
                <w:t>5</w:t>
              </w:r>
            </w:hyperlink>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25">
              <w:r>
                <w:rPr>
                  <w:rStyle w:val="InternetLink"/>
                  <w:rFonts w:ascii="Times New Roman;serif" w:hAnsi="Times New Roman;serif"/>
                  <w:b w:val="false"/>
                  <w:color w:val="0000FF"/>
                  <w:sz w:val="20"/>
                  <w:u w:val="single"/>
                </w:rPr>
                <w:t>Condensed Consolidated Statements of Cash Flows (unaudited)—Fiscal Year-to-Date Periods Ended July 4, 2026 and June 28, 2025</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e927d478134c2185ffcb07ad0c4243_25">
              <w:r>
                <w:rPr>
                  <w:rStyle w:val="InternetLink"/>
                  <w:rFonts w:ascii="Times New Roman;serif" w:hAnsi="Times New Roman;serif"/>
                  <w:b w:val="false"/>
                  <w:color w:val="0000FF"/>
                  <w:sz w:val="20"/>
                  <w:u w:val="single"/>
                </w:rPr>
                <w:t>6</w:t>
              </w:r>
            </w:hyperlink>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e927d478134c2185ffcb07ad0c4243_28">
              <w:r>
                <w:rPr>
                  <w:rStyle w:val="InternetLink"/>
                  <w:rFonts w:ascii="Times New Roman;serif" w:hAnsi="Times New Roman;serif"/>
                  <w:b w:val="false"/>
                  <w:color w:val="0000FF"/>
                  <w:sz w:val="20"/>
                  <w:u w:val="single"/>
                </w:rPr>
                <w:t>Condensed Consolidated Statements of Shareholders’ Equity (unaudited)—Fiscal Year-to-Date Periods Ended July 4, 2026 and June 28, 2025</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e927d478134c2185ffcb07ad0c4243_28">
              <w:r>
                <w:rPr>
                  <w:rStyle w:val="InternetLink"/>
                  <w:rFonts w:ascii="Times New Roman;serif" w:hAnsi="Times New Roman;serif"/>
                  <w:b w:val="false"/>
                  <w:color w:val="0000FF"/>
                  <w:sz w:val="20"/>
                  <w:u w:val="single"/>
                </w:rPr>
                <w:t>7</w:t>
              </w:r>
            </w:hyperlink>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31">
              <w:r>
                <w:rPr>
                  <w:rStyle w:val="InternetLink"/>
                  <w:rFonts w:ascii="Times New Roman;serif" w:hAnsi="Times New Roman;serif"/>
                  <w:b w:val="false"/>
                  <w:color w:val="0000FF"/>
                  <w:sz w:val="20"/>
                  <w:u w:val="single"/>
                </w:rPr>
                <w:t>Notes to Condensed Consolidated Financial Statements (unaudited)</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e927d478134c2185ffcb07ad0c4243_31">
              <w:r>
                <w:rPr>
                  <w:rStyle w:val="InternetLink"/>
                  <w:rFonts w:ascii="Times New Roman;serif" w:hAnsi="Times New Roman;serif"/>
                  <w:b w:val="false"/>
                  <w:color w:val="0000FF"/>
                  <w:sz w:val="20"/>
                  <w:u w:val="single"/>
                </w:rPr>
                <w:t>9</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70">
              <w:r>
                <w:rPr>
                  <w:rStyle w:val="InternetLink"/>
                  <w:rFonts w:ascii="Times New Roman;serif" w:hAnsi="Times New Roman;serif"/>
                  <w:b w:val="false"/>
                  <w:color w:val="0000FF"/>
                  <w:sz w:val="20"/>
                  <w:u w:val="single"/>
                </w:rPr>
                <w:t>ITEM 2.</w:t>
              </w:r>
            </w:hyperlink>
          </w:p>
        </w:tc>
        <w:tc>
          <w:tcPr>
            <w:tcW w:w="84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7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e927d478134c2185ffcb07ad0c4243_70">
              <w:r>
                <w:rPr>
                  <w:rStyle w:val="InternetLink"/>
                  <w:rFonts w:ascii="Times New Roman;serif" w:hAnsi="Times New Roman;serif"/>
                  <w:b w:val="false"/>
                  <w:color w:val="0000FF"/>
                  <w:sz w:val="20"/>
                  <w:u w:val="single"/>
                </w:rPr>
                <w:t>17</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97">
              <w:r>
                <w:rPr>
                  <w:rStyle w:val="InternetLink"/>
                  <w:rFonts w:ascii="Times New Roman;serif" w:hAnsi="Times New Roman;serif"/>
                  <w:b w:val="false"/>
                  <w:color w:val="0000FF"/>
                  <w:sz w:val="20"/>
                  <w:u w:val="single"/>
                </w:rPr>
                <w:t>ITEM 3.</w:t>
              </w:r>
            </w:hyperlink>
          </w:p>
        </w:tc>
        <w:tc>
          <w:tcPr>
            <w:tcW w:w="84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97">
              <w:r>
                <w:rPr>
                  <w:rStyle w:val="InternetLink"/>
                  <w:rFonts w:ascii="Times New Roman;serif" w:hAnsi="Times New Roman;serif"/>
                  <w:b w:val="false"/>
                  <w:color w:val="0000FF"/>
                  <w:sz w:val="20"/>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e927d478134c2185ffcb07ad0c4243_97">
              <w:r>
                <w:rPr>
                  <w:rStyle w:val="InternetLink"/>
                  <w:rFonts w:ascii="Times New Roman;serif" w:hAnsi="Times New Roman;serif"/>
                  <w:b w:val="false"/>
                  <w:color w:val="0000FF"/>
                  <w:sz w:val="20"/>
                  <w:u w:val="single"/>
                </w:rPr>
                <w:t>23</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100">
              <w:r>
                <w:rPr>
                  <w:rStyle w:val="InternetLink"/>
                  <w:rFonts w:ascii="Times New Roman;serif" w:hAnsi="Times New Roman;serif"/>
                  <w:b w:val="false"/>
                  <w:color w:val="0000FF"/>
                  <w:sz w:val="20"/>
                  <w:u w:val="single"/>
                </w:rPr>
                <w:t>ITEM 4.</w:t>
              </w:r>
            </w:hyperlink>
          </w:p>
        </w:tc>
        <w:tc>
          <w:tcPr>
            <w:tcW w:w="84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100">
              <w:r>
                <w:rPr>
                  <w:rStyle w:val="InternetLink"/>
                  <w:rFonts w:ascii="Times New Roman;serif" w:hAnsi="Times New Roman;serif"/>
                  <w:b w:val="false"/>
                  <w:color w:val="0000FF"/>
                  <w:sz w:val="20"/>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e927d478134c2185ffcb07ad0c4243_100">
              <w:r>
                <w:rPr>
                  <w:rStyle w:val="InternetLink"/>
                  <w:rFonts w:ascii="Times New Roman;serif" w:hAnsi="Times New Roman;serif"/>
                  <w:b w:val="false"/>
                  <w:color w:val="0000FF"/>
                  <w:sz w:val="20"/>
                  <w:u w:val="single"/>
                </w:rPr>
                <w:t>23</w:t>
              </w:r>
            </w:hyperlink>
          </w:p>
        </w:tc>
      </w:tr>
      <w:tr>
        <w:trPr/>
        <w:tc>
          <w:tcPr>
            <w:tcW w:w="98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103">
              <w:r>
                <w:rPr>
                  <w:rStyle w:val="InternetLink"/>
                  <w:rFonts w:ascii="Times New Roman;serif" w:hAnsi="Times New Roman;serif"/>
                  <w:b/>
                  <w:strike w:val="false"/>
                  <w:dstrike w:val="false"/>
                  <w:color w:val="000000"/>
                  <w:sz w:val="20"/>
                  <w:u w:val="none"/>
                  <w:effect w:val="none"/>
                </w:rPr>
                <w:t>PART II. OTHER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106">
              <w:r>
                <w:rPr>
                  <w:rStyle w:val="InternetLink"/>
                  <w:rFonts w:ascii="Times New Roman;serif" w:hAnsi="Times New Roman;serif"/>
                  <w:b w:val="false"/>
                  <w:color w:val="0000FF"/>
                  <w:sz w:val="20"/>
                  <w:u w:val="single"/>
                </w:rPr>
                <w:t>ITEM 1.</w:t>
              </w:r>
            </w:hyperlink>
          </w:p>
        </w:tc>
        <w:tc>
          <w:tcPr>
            <w:tcW w:w="84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106">
              <w:r>
                <w:rPr>
                  <w:rStyle w:val="InternetLink"/>
                  <w:rFonts w:ascii="Times New Roman;serif" w:hAnsi="Times New Roman;serif"/>
                  <w:b w:val="false"/>
                  <w:color w:val="0000FF"/>
                  <w:sz w:val="20"/>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e927d478134c2185ffcb07ad0c4243_106">
              <w:r>
                <w:rPr>
                  <w:rStyle w:val="InternetLink"/>
                  <w:rFonts w:ascii="Times New Roman;serif" w:hAnsi="Times New Roman;serif"/>
                  <w:b w:val="false"/>
                  <w:color w:val="0000FF"/>
                  <w:sz w:val="20"/>
                  <w:u w:val="single"/>
                </w:rPr>
                <w:t>24</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109">
              <w:r>
                <w:rPr>
                  <w:rStyle w:val="InternetLink"/>
                  <w:rFonts w:ascii="Times New Roman;serif" w:hAnsi="Times New Roman;serif"/>
                  <w:b w:val="false"/>
                  <w:color w:val="0000FF"/>
                  <w:sz w:val="20"/>
                  <w:u w:val="single"/>
                </w:rPr>
                <w:t>ITEM 1A.</w:t>
              </w:r>
            </w:hyperlink>
          </w:p>
        </w:tc>
        <w:tc>
          <w:tcPr>
            <w:tcW w:w="84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109">
              <w:r>
                <w:rPr>
                  <w:rStyle w:val="InternetLink"/>
                  <w:rFonts w:ascii="Times New Roman;serif" w:hAnsi="Times New Roman;serif"/>
                  <w:b w:val="false"/>
                  <w:color w:val="0000FF"/>
                  <w:sz w:val="20"/>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e927d478134c2185ffcb07ad0c4243_109">
              <w:r>
                <w:rPr>
                  <w:rStyle w:val="InternetLink"/>
                  <w:rFonts w:ascii="Times New Roman;serif" w:hAnsi="Times New Roman;serif"/>
                  <w:b w:val="false"/>
                  <w:color w:val="0000FF"/>
                  <w:sz w:val="20"/>
                  <w:u w:val="single"/>
                </w:rPr>
                <w:t>24</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112">
              <w:r>
                <w:rPr>
                  <w:rStyle w:val="InternetLink"/>
                  <w:rFonts w:ascii="Times New Roman;serif" w:hAnsi="Times New Roman;serif"/>
                  <w:b w:val="false"/>
                  <w:color w:val="0000FF"/>
                  <w:sz w:val="20"/>
                  <w:u w:val="single"/>
                </w:rPr>
                <w:t>ITEM 2.</w:t>
              </w:r>
            </w:hyperlink>
          </w:p>
        </w:tc>
        <w:tc>
          <w:tcPr>
            <w:tcW w:w="84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112">
              <w:r>
                <w:rPr>
                  <w:rStyle w:val="InternetLink"/>
                  <w:rFonts w:ascii="Times New Roman;serif" w:hAnsi="Times New Roman;serif"/>
                  <w:b w:val="false"/>
                  <w:color w:val="0000FF"/>
                  <w:sz w:val="20"/>
                  <w:u w:val="single"/>
                </w:rPr>
                <w:t>Unregistered Sales of Equity Securities and Use of Proceeds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e927d478134c2185ffcb07ad0c4243_112">
              <w:r>
                <w:rPr>
                  <w:rStyle w:val="InternetLink"/>
                  <w:rFonts w:ascii="Times New Roman;serif" w:hAnsi="Times New Roman;serif"/>
                  <w:b w:val="false"/>
                  <w:color w:val="0000FF"/>
                  <w:sz w:val="20"/>
                  <w:u w:val="single"/>
                </w:rPr>
                <w:t>24</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115">
              <w:r>
                <w:rPr>
                  <w:rStyle w:val="InternetLink"/>
                  <w:rFonts w:ascii="Times New Roman;serif" w:hAnsi="Times New Roman;serif"/>
                  <w:b w:val="false"/>
                  <w:color w:val="0000FF"/>
                  <w:sz w:val="20"/>
                  <w:u w:val="single"/>
                </w:rPr>
                <w:t>ITEM 3.</w:t>
              </w:r>
            </w:hyperlink>
          </w:p>
        </w:tc>
        <w:tc>
          <w:tcPr>
            <w:tcW w:w="84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115">
              <w:r>
                <w:rPr>
                  <w:rStyle w:val="InternetLink"/>
                  <w:rFonts w:ascii="Times New Roman;serif" w:hAnsi="Times New Roman;serif"/>
                  <w:b w:val="false"/>
                  <w:color w:val="0000FF"/>
                  <w:sz w:val="20"/>
                  <w:u w:val="single"/>
                </w:rPr>
                <w:t>Defaults Upon Senior Securities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e927d478134c2185ffcb07ad0c4243_115">
              <w:r>
                <w:rPr>
                  <w:rStyle w:val="InternetLink"/>
                  <w:rFonts w:ascii="Times New Roman;serif" w:hAnsi="Times New Roman;serif"/>
                  <w:b w:val="false"/>
                  <w:color w:val="0000FF"/>
                  <w:sz w:val="20"/>
                  <w:u w:val="single"/>
                </w:rPr>
                <w:t>25</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118">
              <w:r>
                <w:rPr>
                  <w:rStyle w:val="InternetLink"/>
                  <w:rFonts w:ascii="Times New Roman;serif" w:hAnsi="Times New Roman;serif"/>
                  <w:b w:val="false"/>
                  <w:color w:val="0000FF"/>
                  <w:sz w:val="20"/>
                  <w:u w:val="single"/>
                </w:rPr>
                <w:t>ITEM 4.</w:t>
              </w:r>
            </w:hyperlink>
          </w:p>
        </w:tc>
        <w:tc>
          <w:tcPr>
            <w:tcW w:w="84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118">
              <w:r>
                <w:rPr>
                  <w:rStyle w:val="InternetLink"/>
                  <w:rFonts w:ascii="Times New Roman;serif" w:hAnsi="Times New Roman;serif"/>
                  <w:b w:val="false"/>
                  <w:color w:val="0000FF"/>
                  <w:sz w:val="20"/>
                  <w:u w:val="single"/>
                </w:rPr>
                <w:t>Mine Safety Disclosures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e927d478134c2185ffcb07ad0c4243_118">
              <w:r>
                <w:rPr>
                  <w:rStyle w:val="InternetLink"/>
                  <w:rFonts w:ascii="Times New Roman;serif" w:hAnsi="Times New Roman;serif"/>
                  <w:b w:val="false"/>
                  <w:color w:val="0000FF"/>
                  <w:sz w:val="20"/>
                  <w:u w:val="single"/>
                </w:rPr>
                <w:t>25</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121">
              <w:r>
                <w:rPr>
                  <w:rStyle w:val="InternetLink"/>
                  <w:rFonts w:ascii="Times New Roman;serif" w:hAnsi="Times New Roman;serif"/>
                  <w:b w:val="false"/>
                  <w:color w:val="0000FF"/>
                  <w:sz w:val="20"/>
                  <w:u w:val="single"/>
                </w:rPr>
                <w:t>ITEM 5.</w:t>
              </w:r>
            </w:hyperlink>
          </w:p>
        </w:tc>
        <w:tc>
          <w:tcPr>
            <w:tcW w:w="84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121">
              <w:r>
                <w:rPr>
                  <w:rStyle w:val="InternetLink"/>
                  <w:rFonts w:ascii="Times New Roman;serif" w:hAnsi="Times New Roman;serif"/>
                  <w:b w:val="false"/>
                  <w:color w:val="0000FF"/>
                  <w:sz w:val="20"/>
                  <w:u w:val="singl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e927d478134c2185ffcb07ad0c4243_121">
              <w:r>
                <w:rPr>
                  <w:rStyle w:val="InternetLink"/>
                  <w:rFonts w:ascii="Times New Roman;serif" w:hAnsi="Times New Roman;serif"/>
                  <w:b w:val="false"/>
                  <w:color w:val="0000FF"/>
                  <w:sz w:val="20"/>
                  <w:u w:val="single"/>
                </w:rPr>
                <w:t>25</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127">
              <w:r>
                <w:rPr>
                  <w:rStyle w:val="InternetLink"/>
                  <w:rFonts w:ascii="Times New Roman;serif" w:hAnsi="Times New Roman;serif"/>
                  <w:b w:val="false"/>
                  <w:color w:val="0000FF"/>
                  <w:sz w:val="20"/>
                  <w:u w:val="single"/>
                </w:rPr>
                <w:t>ITEM 6.</w:t>
              </w:r>
            </w:hyperlink>
          </w:p>
        </w:tc>
        <w:tc>
          <w:tcPr>
            <w:tcW w:w="84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127">
              <w:r>
                <w:rPr>
                  <w:rStyle w:val="InternetLink"/>
                  <w:rFonts w:ascii="Times New Roman;serif" w:hAnsi="Times New Roman;serif"/>
                  <w:b w:val="false"/>
                  <w:color w:val="0000FF"/>
                  <w:sz w:val="20"/>
                  <w:u w:val="single"/>
                </w:rPr>
                <w:t>Exhibits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e927d478134c2185ffcb07ad0c4243_127">
              <w:r>
                <w:rPr>
                  <w:rStyle w:val="InternetLink"/>
                  <w:rFonts w:ascii="Times New Roman;serif" w:hAnsi="Times New Roman;serif"/>
                  <w:b w:val="false"/>
                  <w:color w:val="0000FF"/>
                  <w:sz w:val="20"/>
                  <w:u w:val="single"/>
                </w:rPr>
                <w:t>27</w:t>
              </w:r>
            </w:hyperlink>
          </w:p>
        </w:tc>
      </w:tr>
      <w:tr>
        <w:trPr/>
        <w:tc>
          <w:tcPr>
            <w:tcW w:w="983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6e927d478134c2185ffcb07ad0c4243_130">
              <w:r>
                <w:rPr>
                  <w:rStyle w:val="InternetLink"/>
                  <w:rFonts w:ascii="Times New Roman;serif" w:hAnsi="Times New Roman;serif"/>
                  <w:b w:val="false"/>
                  <w:color w:val="0000FF"/>
                  <w:sz w:val="20"/>
                  <w:u w:val="single"/>
                </w:rPr>
                <w:t>Signatures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e927d478134c2185ffcb07ad0c4243_130">
              <w:r>
                <w:rPr>
                  <w:rStyle w:val="InternetLink"/>
                  <w:rFonts w:ascii="Times New Roman;serif" w:hAnsi="Times New Roman;serif"/>
                  <w:b w:val="false"/>
                  <w:color w:val="0000FF"/>
                  <w:sz w:val="20"/>
                  <w:u w:val="single"/>
                </w:rPr>
                <w:t>28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CRA INTERNATIONAL,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673"/>
        <w:gridCol w:w="1453"/>
        <w:gridCol w:w="146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73"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Year-to-Date</w:t>
              <w:br/>
              <w:t>Period Ended</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368,729 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services (exclusive of depreciation and amortization)</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148,734 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293,762 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248,896 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(2,225)</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gains (losses),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41,760 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30,124 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w:t>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6,407 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6,753 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6,498 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6,807 </w:t>
            </w:r>
          </w:p>
        </w:tc>
        <w:tc>
          <w:tcPr>
            <w:tcW w:w="15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CRA INTERNATIONAL,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9480" w:type="dxa"/>
        <w:jc w:val="left"/>
        <w:tblInd w:w="0" w:type="dxa"/>
        <w:tblLayout w:type="fixed"/>
        <w:tblCellMar>
          <w:top w:w="28" w:type="dxa"/>
          <w:left w:w="28" w:type="dxa"/>
          <w:bottom w:w="28" w:type="dxa"/>
          <w:right w:w="28" w:type="dxa"/>
        </w:tblCellMar>
      </w:tblPr>
      <w:tblGrid>
        <w:gridCol w:w="1553"/>
        <w:gridCol w:w="1362"/>
        <w:gridCol w:w="137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5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Year-to-Date</w:t>
              <w:br/>
              <w:t>Period Ended</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CRA INTERNATIONAL,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917"/>
        <w:gridCol w:w="2318"/>
        <w:gridCol w:w="2305"/>
        <w:gridCol w:w="211"/>
        <w:gridCol w:w="826"/>
        <w:gridCol w:w="109"/>
        <w:gridCol w:w="109"/>
        <w:gridCol w:w="109"/>
        <w:gridCol w:w="109"/>
        <w:gridCol w:w="211"/>
        <w:gridCol w:w="826"/>
        <w:gridCol w:w="155"/>
      </w:tblGrid>
      <w:tr>
        <w:trPr/>
        <w:tc>
          <w:tcPr>
            <w:tcW w:w="2917"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January 3,</w:t>
              <w:br/>
              <w:t>2026</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$6,262 and $6,664,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183,264 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Unbilled services, net of allowances of $1,863 and $1,489,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Forgivable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303,129 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Forgivable loans, net of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628,873 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deferred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330,029 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and other 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85,246 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9)</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no par value; 1,000,000 shares authorized; none issued and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no par value; 25,000,000 shares authorized; 6,256,322 and 6,547,407 shares issued and outstanding,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221,062 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213,598 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678,477 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628,873 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CRA INTERNATIONAL,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8278" w:type="dxa"/>
        <w:jc w:val="left"/>
        <w:tblInd w:w="0" w:type="dxa"/>
        <w:tblLayout w:type="fixed"/>
        <w:tblCellMar>
          <w:top w:w="28" w:type="dxa"/>
          <w:left w:w="28" w:type="dxa"/>
          <w:bottom w:w="28" w:type="dxa"/>
          <w:right w:w="28" w:type="dxa"/>
        </w:tblCellMar>
      </w:tblPr>
      <w:tblGrid>
        <w:gridCol w:w="2055"/>
        <w:gridCol w:w="1802"/>
        <w:gridCol w:w="1813"/>
        <w:gridCol w:w="225"/>
        <w:gridCol w:w="741"/>
        <w:gridCol w:w="125"/>
        <w:gridCol w:w="125"/>
        <w:gridCol w:w="125"/>
        <w:gridCol w:w="125"/>
        <w:gridCol w:w="225"/>
        <w:gridCol w:w="741"/>
        <w:gridCol w:w="176"/>
      </w:tblGrid>
      <w:tr>
        <w:trPr/>
        <w:tc>
          <w:tcPr>
            <w:tcW w:w="2055"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Year-to-Date Period Ended</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used in operating activities:</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6,941 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 amortization</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7,748 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3,777 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Bad debt expense (recovery),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foreign currency remeasurement (gains) losses, net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5,161 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Unbilled services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(38,346)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(16,532)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 and other assets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Forgivable loans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(58,263)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(26,312)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Incentive cash awards payable</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6,437 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6,001 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accrued expenses, and other liabilities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(77,877)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(80,182)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(9,215)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(9,440)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(118,313)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(74,142)</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(4,295)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(4,295)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(2,163)</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revolving line of credit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257,500 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132,000 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under revolving line of credit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(72,500)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payments reimbursed by shares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dividends and dividend equivalents paid</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(7,438)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(6,858)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(49,303)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(43,150)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126,124 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67,183 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exchange rates on cash and cash equivalents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3,232 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(7,263)</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26,711 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period</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21,442 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19,448 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Noncash investing and financing activities:</w:t>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accounts payable and accrued expenses for property and equipment</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share repurchases</w:t>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(462)</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(388)</w:t>
            </w:r>
          </w:p>
        </w:tc>
        <w:tc>
          <w:tcPr>
            <w:tcW w:w="1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obtained in exchange for lease obligations</w:t>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885 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7,808 </w:t>
            </w:r>
          </w:p>
        </w:tc>
        <w:tc>
          <w:tcPr>
            <w:tcW w:w="1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cash flow information:</w:t>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taxes</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14,854 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3,057 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1,670 </w:t>
            </w:r>
          </w:p>
        </w:tc>
        <w:tc>
          <w:tcPr>
            <w:tcW w:w="1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amounts included in operating lease liabilities</w:t>
            </w:r>
          </w:p>
        </w:tc>
        <w:tc>
          <w:tcPr>
            <w:tcW w:w="2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11,640 </w:t>
            </w:r>
          </w:p>
        </w:tc>
        <w:tc>
          <w:tcPr>
            <w:tcW w:w="1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11,515 </w:t>
            </w:r>
          </w:p>
        </w:tc>
        <w:tc>
          <w:tcPr>
            <w:tcW w:w="1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CRA INTERNATIONAL,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 OF SHAREHOLDERS’ EQUITY (unaudited)</w:t>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320"/>
        <w:gridCol w:w="1113"/>
        <w:gridCol w:w="1121"/>
        <w:gridCol w:w="435"/>
        <w:gridCol w:w="436"/>
        <w:gridCol w:w="196"/>
        <w:gridCol w:w="109"/>
        <w:gridCol w:w="109"/>
        <w:gridCol w:w="109"/>
        <w:gridCol w:w="196"/>
        <w:gridCol w:w="556"/>
        <w:gridCol w:w="109"/>
        <w:gridCol w:w="109"/>
        <w:gridCol w:w="109"/>
        <w:gridCol w:w="109"/>
        <w:gridCol w:w="196"/>
        <w:gridCol w:w="736"/>
        <w:gridCol w:w="109"/>
        <w:gridCol w:w="109"/>
        <w:gridCol w:w="109"/>
        <w:gridCol w:w="109"/>
        <w:gridCol w:w="246"/>
        <w:gridCol w:w="832"/>
        <w:gridCol w:w="138"/>
        <w:gridCol w:w="109"/>
        <w:gridCol w:w="109"/>
        <w:gridCol w:w="109"/>
        <w:gridCol w:w="208"/>
        <w:gridCol w:w="783"/>
        <w:gridCol w:w="167"/>
      </w:tblGrid>
      <w:tr>
        <w:trPr/>
        <w:tc>
          <w:tcPr>
            <w:tcW w:w="132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br/>
              <w:t>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JANUARY 3, 2026</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6,547,407 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(9,944)</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213,598 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11,132 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 net of tax</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shares vesting</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20,898 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vested employee restricted shares for tax withholding</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(8,149)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repurchased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(116,040)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(21,463)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excise tax on shares repurchased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dividends on unvested shares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paid ($0.57 per share)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(3,806)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APRIL 4, 2026</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6,444,116 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(10,799)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198,390 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13,508 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shares vesting</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9,457 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vested employee restricted shares for tax withholding</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(4,306)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repurchased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(192,945)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(27,840)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excise tax on shares repurchased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dividends on unvested shares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paid ($0.57 per share)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(3,632)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JULY 4, 2026</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6,256,322 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(10,818)</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181,848 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CRA INTERNATIONAL,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 OF SHAREHOLDERS’ EQUITY (unaudited)</w:t>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296"/>
        <w:gridCol w:w="1126"/>
        <w:gridCol w:w="1133"/>
        <w:gridCol w:w="435"/>
        <w:gridCol w:w="436"/>
        <w:gridCol w:w="196"/>
        <w:gridCol w:w="109"/>
        <w:gridCol w:w="109"/>
        <w:gridCol w:w="109"/>
        <w:gridCol w:w="196"/>
        <w:gridCol w:w="556"/>
        <w:gridCol w:w="109"/>
        <w:gridCol w:w="109"/>
        <w:gridCol w:w="109"/>
        <w:gridCol w:w="109"/>
        <w:gridCol w:w="196"/>
        <w:gridCol w:w="736"/>
        <w:gridCol w:w="109"/>
        <w:gridCol w:w="109"/>
        <w:gridCol w:w="109"/>
        <w:gridCol w:w="109"/>
        <w:gridCol w:w="246"/>
        <w:gridCol w:w="832"/>
        <w:gridCol w:w="138"/>
        <w:gridCol w:w="109"/>
        <w:gridCol w:w="109"/>
        <w:gridCol w:w="109"/>
        <w:gridCol w:w="208"/>
        <w:gridCol w:w="783"/>
        <w:gridCol w:w="166"/>
      </w:tblGrid>
      <w:tr>
        <w:trPr/>
        <w:tc>
          <w:tcPr>
            <w:tcW w:w="12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br/>
              <w:t>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28, 2024</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6,768,575 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(15,051)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212,073 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18,002 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 net of tax</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shares vesting</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34,780 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vested employee restricted shares for tax withholding</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(13,462)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excise tax on shares repurchased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dividends on unvested shares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paid ($0.49 per share)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(3,488)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MARCH 29, 2025</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6,789,893 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(13,308)</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227,319 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12,122 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3,823 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shares vesting</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4,487 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vested employee restricted shares for tax withholding</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repurchased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(230,673)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excise tax on shares repurchased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dividends on unvested shares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paid ($0.49 per share)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(3,370)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JUNE 28, 2025</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6,561,563 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206,485 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(9,485)</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197,000 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CRA INTERNATIONAL,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Summary of Significant Accounting Policies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6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CRA International, Inc. ("CRA" or the "Company") is a worldwide leading consulting services firm that applies advanced analytic techniques and in-depth industry knowledge to complex engagements for a broad range of clients. CRA offers services in two broad areas: litigation, regulatory, and financial consulting and management consulting. CRA operates in one business segment. CRA operates its business under its registered trade name, Charles River Associates.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include the accounts of CRA and its wholly-owned subsidiaries (collectively, the "Company") which require consolidation, after the elimination of intercompany accounts and transactions. These financial statements have been prepared in accordance with the rules and regulations of the U.S. Securities and Exchange Commission (“SEC”) for Quarterly Reports on Form 10-Q. Accordingly, these financial statements do not include all the information and note disclosures required by accounting principles generally accepted in the United States of America (“U.S. GAAP”) for annual financial statements. In the opinion of management, these financial statements reflect all adjustments of a normal, recurring nature necessary for the fair presentation of the Company’s results of operations, financial position, cash flows, and shareholders’ equity for the interim periods presented in conformity with U.S. GAAP. Results of operations for the interim periods presented herein are not necessarily indicative of results of operations for a full year. These financial statements should be read in conjunction with the consolidated financial statements and notes thereto for the fiscal year ended January 3, 2026 included in CRA’s Annual Report on Form 10-K filed with the SEC on February 26, 2026.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Note 1 to the Consolidated Financial Statements included in Part II, Item 8, on Form 10-K for the fiscal year ended January 3, 2026 describes the significant accounting policies and methods used in preparation of the Condensed Consolidated Financial Statements in this Quarterly Report on Form 10-Q.</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Recent Accounting Standards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Intangibles—Goodwill and Other—Internal-Use Software (Subtopic 350-40): Targeted Improvements to the Accounting for Internal-Use Software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On January 4, 2026, CRA adopted Accounting Standards Update ("ASU") No. 2025-06, </w:t>
      </w:r>
      <w:r>
        <w:rPr>
          <w:rFonts w:ascii="Times New Roman;serif" w:hAnsi="Times New Roman;serif"/>
          <w:b w:val="false"/>
          <w:i/>
          <w:color w:val="000000"/>
          <w:sz w:val="20"/>
        </w:rPr>
        <w:t>Intangibles—Goodwill and Other—Internal-Use Software (Subtopic 350-40): Targeted Improvements to the Accounting for Internal-Use Software (“ASU 2025-06”)</w:t>
      </w:r>
      <w:r>
        <w:rPr>
          <w:rFonts w:ascii="Times New Roman;serif" w:hAnsi="Times New Roman;serif"/>
          <w:b w:val="false"/>
          <w:color w:val="000000"/>
          <w:sz w:val="20"/>
        </w:rPr>
        <w:t>, which modernized the accounting for internal-use software. ASU 2025-06 removed all references to software development stages and requires capitalization of software costs when management has committed to funding the software project and it is probable the project will be completed and the software will be used to perform the function intended. The adoption of ASU 2025</w:t>
        <w:noBreakHyphen/>
        <w:t>06 did not have a material impact on CRA’s condensed consolidated financial statements.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Accounting Standards Not Yet Adopted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Interim Reporting (Topic 270): Narrow</w:t>
        <w:noBreakHyphen/>
        <w:t xml:space="preserve">Scope Improvements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In December 2025, the Financial Accounting Standards Board ("FASB") issued ASU 2025</w:t>
        <w:noBreakHyphen/>
        <w:t xml:space="preserve">11, </w:t>
      </w:r>
      <w:r>
        <w:rPr>
          <w:rFonts w:ascii="Times New Roman;serif" w:hAnsi="Times New Roman;serif"/>
          <w:b w:val="false"/>
          <w:i/>
          <w:color w:val="000000"/>
          <w:sz w:val="20"/>
        </w:rPr>
        <w:t>Interim Reporting (Topic 270): Narrow</w:t>
        <w:noBreakHyphen/>
        <w:t>Scope Improvements</w:t>
      </w:r>
      <w:r>
        <w:rPr>
          <w:color w:val="000000"/>
        </w:rPr>
        <w:t xml:space="preserve"> </w:t>
      </w:r>
      <w:r>
        <w:rPr>
          <w:rFonts w:ascii="Times New Roman;serif" w:hAnsi="Times New Roman;serif"/>
          <w:b w:val="false"/>
          <w:color w:val="000000"/>
          <w:sz w:val="20"/>
        </w:rPr>
        <w:t>(“ASU 2025</w:t>
        <w:noBreakHyphen/>
        <w:t xml:space="preserve">11”). ASU 2025-11 is intended to improve the navigability of interim reporting guidance by clarifying when Topic 270 applies, enhancing the organization of required interim disclosures, and providing additional direction on the form and content of interim financial statements. The amendments introduce a disclosure principle requiring entities to disclose events occurring after the end of the most recent annual reporting period that have a material impact on the entity. ASU 2025-11 also compiles a comprehensive list of interim disclosures currently required under U.S. GAAP, without expanding or reducing existing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CRA INTERNATIONAL,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ASU 2025</w:t>
        <w:noBreakHyphen/>
        <w:t>11 is effective for interim periods within annual reporting periods beginning after December 15, 2027, for public business entities, with early adoption permitted. CRA is evaluating the impact of the amendments and does not expect them to materially affect its interim reporting, as the changes primarily clarify existing disclosure requirements.</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Income Statement—Reporting Comprehensive Income—Expense Disaggregation Disclosures (Subtopic 220-40): Disaggregation of Income Statement Expenses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("ASU 2024-03")</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ASU 2024-03 requires disclosure, in the notes to the financial statements, specified information about certain costs and expenses including employee compensation, depreciation, and intangible asset amortization.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ASU 2024-03, further clarified in ASU 2025-01, </w:t>
      </w:r>
      <w:r>
        <w:rPr>
          <w:rFonts w:ascii="Times New Roman;serif" w:hAnsi="Times New Roman;serif"/>
          <w:b w:val="false"/>
          <w:i/>
          <w:color w:val="000000"/>
          <w:sz w:val="20"/>
        </w:rPr>
        <w:t>Income Statement—Reporting Comprehensive Income—Expense</w:t>
      </w:r>
    </w:p>
    <w:p>
      <w:pPr>
        <w:pStyle w:val="TextBody"/>
        <w:bidi w:val="0"/>
        <w:spacing w:lineRule="auto" w:line="288" w:before="0" w:after="0"/>
        <w:jc w:val="left"/>
        <w:rPr/>
      </w:pPr>
      <w:r>
        <w:rPr>
          <w:rFonts w:ascii="Times New Roman;serif" w:hAnsi="Times New Roman;serif"/>
          <w:b w:val="false"/>
          <w:i/>
          <w:color w:val="000000"/>
          <w:sz w:val="20"/>
        </w:rPr>
        <w:t>Disaggregation Disclosures (Subtopic 220-40): Clarifying the Effective Date</w:t>
      </w:r>
      <w:r>
        <w:rPr>
          <w:color w:val="000000"/>
        </w:rPr>
        <w:t xml:space="preserve"> </w:t>
      </w:r>
      <w:r>
        <w:rPr>
          <w:rFonts w:ascii="Times New Roman;serif" w:hAnsi="Times New Roman;serif"/>
          <w:b w:val="false"/>
          <w:color w:val="000000"/>
          <w:sz w:val="20"/>
        </w:rPr>
        <w:t>is effective for CRA for annual reporting periods beginning after December 15, 2026, and interim reporting periods beginning after December 15, 2027. CRA expects the adoption of this ASU will have no impact on its financial position or its results of operations, but will result in additional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Revenues and Allowances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contracts CRA enters into and operates under specify whether the projects are billed on a time-and-materials or a fixed-price basis. Time-and-materials contracts are typically used for litigation, regulatory, and financial consulting projects while fixed-price contracts are principally used for management consulting projects. In general, project costs are classified in costs of services and are based on the direct salary of CRA’s employee consultants on the engagement, plus all direct expenses incurred to complete the project, including any amounts billed to CRA by its non-employee experts.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disaggregate CRA’s revenue by type of contract and geographic location (in thousands):</w:t>
      </w:r>
    </w:p>
    <w:tbl>
      <w:tblPr>
        <w:tblW w:w="8487" w:type="dxa"/>
        <w:jc w:val="left"/>
        <w:tblInd w:w="0" w:type="dxa"/>
        <w:tblLayout w:type="fixed"/>
        <w:tblCellMar>
          <w:top w:w="28" w:type="dxa"/>
          <w:left w:w="28" w:type="dxa"/>
          <w:bottom w:w="28" w:type="dxa"/>
          <w:right w:w="28" w:type="dxa"/>
        </w:tblCellMar>
      </w:tblPr>
      <w:tblGrid>
        <w:gridCol w:w="922"/>
        <w:gridCol w:w="811"/>
        <w:gridCol w:w="817"/>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Year-to-Date</w:t>
              <w:br/>
              <w:t>Period Ended</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Type of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 services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Time-and-materials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210,815 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186,878 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411,790 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368,729 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have been attributed to locations based on the location of the legal entity generating the revenues.</w:t>
      </w:r>
    </w:p>
    <w:tbl>
      <w:tblPr>
        <w:tblW w:w="8487" w:type="dxa"/>
        <w:jc w:val="left"/>
        <w:tblInd w:w="0" w:type="dxa"/>
        <w:tblLayout w:type="fixed"/>
        <w:tblCellMar>
          <w:top w:w="28" w:type="dxa"/>
          <w:left w:w="28" w:type="dxa"/>
          <w:bottom w:w="28" w:type="dxa"/>
          <w:right w:w="28" w:type="dxa"/>
        </w:tblCellMar>
      </w:tblPr>
      <w:tblGrid>
        <w:gridCol w:w="924"/>
        <w:gridCol w:w="811"/>
        <w:gridCol w:w="81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Year-to-Date</w:t>
              <w:br/>
              <w:t>Period Ended</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Geographic Breakdown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 services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368,729 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CRA INTERNATIONAL,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before="140" w:after="283"/>
        <w:jc w:val="left"/>
        <w:rPr/>
      </w:pPr>
      <w:r>
        <w:rPr/>
      </w:r>
    </w:p>
    <w:p>
      <w:pPr>
        <w:pStyle w:val="TextBody"/>
        <w:bidi w:val="0"/>
        <w:spacing w:lineRule="auto" w:line="288" w:before="140" w:after="283"/>
        <w:jc w:val="left"/>
        <w:rPr>
          <w:rFonts w:ascii="Times New Roman;serif" w:hAnsi="Times New Roman;serif"/>
          <w:b w:val="false"/>
          <w:i/>
          <w:color w:val="000000"/>
          <w:sz w:val="20"/>
        </w:rPr>
      </w:pPr>
      <w:r>
        <w:rPr>
          <w:rFonts w:ascii="Times New Roman;serif" w:hAnsi="Times New Roman;serif"/>
          <w:b w:val="false"/>
          <w:i/>
          <w:color w:val="000000"/>
          <w:sz w:val="20"/>
        </w:rPr>
        <w:t>Reserves for Variable Consideration and Credit Risk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from CRA's consulting services are recorded at the net transaction price, which includes estimates of variable consideration for which reserves are established. Variable consideration reserves are based on specific price concessions and those expected to be extended to CRA customers estimated by CRA's historical realization rates. Reserves for variable consideration are recorded as a component of the allowances for accounts receivable and unbilled services on the condensed consolidated balance sheet. Adjustments to the reserves for variable consideration are included in revenues on the condensed consolidated statement of operations.</w:t>
      </w:r>
    </w:p>
    <w:p>
      <w:pPr>
        <w:pStyle w:val="TextBody"/>
        <w:bidi w:val="0"/>
        <w:spacing w:lineRule="auto" w:line="276" w:before="240" w:after="283"/>
        <w:ind w:left="0" w:right="0" w:firstLine="540"/>
        <w:jc w:val="left"/>
        <w:rPr/>
      </w:pPr>
      <w:r>
        <w:rPr>
          <w:rFonts w:ascii="Times New Roman;serif" w:hAnsi="Times New Roman;serif"/>
          <w:b w:val="false"/>
          <w:color w:val="000000"/>
          <w:sz w:val="20"/>
        </w:rPr>
        <w:t xml:space="preserve">CRA also maintains allowances for accounts receivable and unbilled services for estimated losses resulting from clients’ failure to make required payments. Under ASC Topic 326, </w:t>
      </w:r>
      <w:r>
        <w:rPr>
          <w:rFonts w:ascii="Times New Roman;serif" w:hAnsi="Times New Roman;serif"/>
          <w:b w:val="false"/>
          <w:i/>
          <w:color w:val="000000"/>
          <w:sz w:val="20"/>
        </w:rPr>
        <w:t>Financial Instruments—Credit Losses</w:t>
      </w:r>
      <w:r>
        <w:rPr>
          <w:rFonts w:ascii="Times New Roman;serif" w:hAnsi="Times New Roman;serif"/>
          <w:b w:val="false"/>
          <w:color w:val="000000"/>
          <w:sz w:val="20"/>
        </w:rPr>
        <w:t>, CRA estimates allowances based on historical charge-off rates, adjusted for days sales outstanding and expected changes to clients’ financial conditions during the anticipated collection period. Bad debt expense, net of recoveries of previously written off allowances, is recorded as a component of selling, general and administrative expenses on the condensed consolidated statement of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CRA's bad debt expense, net of recoveries of previously written-off allowances (in thousands):</w:t>
      </w:r>
    </w:p>
    <w:tbl>
      <w:tblPr>
        <w:tblW w:w="7317" w:type="dxa"/>
        <w:jc w:val="left"/>
        <w:tblInd w:w="0" w:type="dxa"/>
        <w:tblLayout w:type="fixed"/>
        <w:tblCellMar>
          <w:top w:w="28" w:type="dxa"/>
          <w:left w:w="28" w:type="dxa"/>
          <w:bottom w:w="28" w:type="dxa"/>
          <w:right w:w="28" w:type="dxa"/>
        </w:tblCellMar>
      </w:tblPr>
      <w:tblGrid>
        <w:gridCol w:w="1003"/>
        <w:gridCol w:w="883"/>
        <w:gridCol w:w="889"/>
        <w:gridCol w:w="109"/>
        <w:gridCol w:w="109"/>
        <w:gridCol w:w="109"/>
        <w:gridCol w:w="211"/>
        <w:gridCol w:w="436"/>
        <w:gridCol w:w="109"/>
        <w:gridCol w:w="109"/>
        <w:gridCol w:w="109"/>
        <w:gridCol w:w="109"/>
        <w:gridCol w:w="211"/>
        <w:gridCol w:w="466"/>
        <w:gridCol w:w="109"/>
        <w:gridCol w:w="109"/>
        <w:gridCol w:w="109"/>
        <w:gridCol w:w="109"/>
        <w:gridCol w:w="211"/>
        <w:gridCol w:w="541"/>
        <w:gridCol w:w="109"/>
        <w:gridCol w:w="109"/>
        <w:gridCol w:w="109"/>
        <w:gridCol w:w="109"/>
        <w:gridCol w:w="211"/>
        <w:gridCol w:w="466"/>
        <w:gridCol w:w="154"/>
      </w:tblGrid>
      <w:tr>
        <w:trPr/>
        <w:tc>
          <w:tcPr>
            <w:tcW w:w="100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Year-to-Date</w:t>
              <w:br/>
              <w:t>Period Ended</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 (recovery),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Reimbursable Expenses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also include reimbursements for costs incurred by CRA in fulfilling its performance obligations, including those relating to travel, out-of-pocket expenses, outside consultants and other third-party vendor expenses. CRA recovers substantially all these costs. The following expenses are subject to reimbursement (in thousands):</w:t>
      </w:r>
    </w:p>
    <w:tbl>
      <w:tblPr>
        <w:tblW w:w="7542" w:type="dxa"/>
        <w:jc w:val="left"/>
        <w:tblInd w:w="0" w:type="dxa"/>
        <w:tblLayout w:type="fixed"/>
        <w:tblCellMar>
          <w:top w:w="28" w:type="dxa"/>
          <w:left w:w="28" w:type="dxa"/>
          <w:bottom w:w="28" w:type="dxa"/>
          <w:right w:w="28" w:type="dxa"/>
        </w:tblCellMar>
      </w:tblPr>
      <w:tblGrid>
        <w:gridCol w:w="733"/>
        <w:gridCol w:w="645"/>
        <w:gridCol w:w="647"/>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Year-to-Date</w:t>
              <w:br/>
              <w:t>Period Ended</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Reimbursable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i/>
          <w:color w:val="000000"/>
          <w:sz w:val="20"/>
        </w:rPr>
      </w:pPr>
      <w:r>
        <w:rPr>
          <w:rFonts w:ascii="Times New Roman;serif" w:hAnsi="Times New Roman;serif"/>
          <w:b w:val="false"/>
          <w:i/>
          <w:color w:val="000000"/>
          <w:sz w:val="20"/>
        </w:rPr>
        <w:t>Contract Balances from Contracts with Customers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timing of revenue recognition, billings, and cash collections results in accounts receivables, unbilled services, and contract liabilities in the condensed consolidated balance sheet. Revenues recognized for services performed, but not yet billed to clients, are recorded as unbilled services. The following table presents the open and closing balances of CRA's accounts receivable, net and unbilled services, net (in thousands):</w:t>
      </w:r>
    </w:p>
    <w:tbl>
      <w:tblPr>
        <w:tblW w:w="6309" w:type="dxa"/>
        <w:jc w:val="left"/>
        <w:tblInd w:w="0" w:type="dxa"/>
        <w:tblLayout w:type="fixed"/>
        <w:tblCellMar>
          <w:top w:w="28" w:type="dxa"/>
          <w:left w:w="28" w:type="dxa"/>
          <w:bottom w:w="28" w:type="dxa"/>
          <w:right w:w="28" w:type="dxa"/>
        </w:tblCellMar>
      </w:tblPr>
      <w:tblGrid>
        <w:gridCol w:w="667"/>
        <w:gridCol w:w="587"/>
        <w:gridCol w:w="591"/>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January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162,293 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services,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103,623 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65,598 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57,255 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CRA defines contract assets as assets for which it has recorded revenue because it determines that it is probable that it will earn a performance-based or contingent fee, but is not yet entitled to receive a fee because certain events, such as completion of the measurement period or client approval, must occur. The contract assets balance was immaterial as of July 4, 2026, January 3, 2026, and December 28,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CRA INTERNATIONAL,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When consideration is received, or such consideration is unconditionally due from a customer prior to transferring consulting services to the customer under the terms of a contract, a contract liability is recorded. Contract liabilities are recognized as revenue after performance obligations have been satisfied and all revenue recognition criteria have been met. Contract liabilities are included in deferred revenue and other liabilities in the condensed consolidated balance sheet. The following table presents the closing balances of CRA's contract liabilities (in thousands):</w:t>
      </w:r>
    </w:p>
    <w:tbl>
      <w:tblPr>
        <w:tblW w:w="5642" w:type="dxa"/>
        <w:jc w:val="left"/>
        <w:tblInd w:w="0" w:type="dxa"/>
        <w:tblLayout w:type="fixed"/>
        <w:tblCellMar>
          <w:top w:w="28" w:type="dxa"/>
          <w:left w:w="28" w:type="dxa"/>
          <w:bottom w:w="28" w:type="dxa"/>
          <w:right w:w="28" w:type="dxa"/>
        </w:tblCellMar>
      </w:tblPr>
      <w:tblGrid>
        <w:gridCol w:w="597"/>
        <w:gridCol w:w="525"/>
        <w:gridCol w:w="527"/>
        <w:gridCol w:w="109"/>
        <w:gridCol w:w="109"/>
        <w:gridCol w:w="109"/>
        <w:gridCol w:w="211"/>
        <w:gridCol w:w="616"/>
        <w:gridCol w:w="109"/>
        <w:gridCol w:w="109"/>
        <w:gridCol w:w="109"/>
        <w:gridCol w:w="109"/>
        <w:gridCol w:w="211"/>
        <w:gridCol w:w="616"/>
        <w:gridCol w:w="109"/>
        <w:gridCol w:w="109"/>
        <w:gridCol w:w="109"/>
        <w:gridCol w:w="109"/>
        <w:gridCol w:w="245"/>
        <w:gridCol w:w="716"/>
        <w:gridCol w:w="179"/>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January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CRA recognized the following revenue that was included in the contract liabilities balance as of the opening of the respective period or for performance obligations satisfied in previous periods (in thousands):</w:t>
      </w:r>
    </w:p>
    <w:tbl>
      <w:tblPr>
        <w:tblW w:w="10205" w:type="dxa"/>
        <w:jc w:val="left"/>
        <w:tblInd w:w="0" w:type="dxa"/>
        <w:tblLayout w:type="fixed"/>
        <w:tblCellMar>
          <w:top w:w="28" w:type="dxa"/>
          <w:left w:w="28" w:type="dxa"/>
          <w:bottom w:w="28" w:type="dxa"/>
          <w:right w:w="28" w:type="dxa"/>
        </w:tblCellMar>
      </w:tblPr>
      <w:tblGrid>
        <w:gridCol w:w="1865"/>
        <w:gridCol w:w="1618"/>
        <w:gridCol w:w="1623"/>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865"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Year-to-Date</w:t>
              <w:br/>
              <w:t>Period Ended</w:t>
            </w:r>
          </w:p>
        </w:tc>
      </w:tr>
      <w:tr>
        <w:trPr/>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included in contract liabilities at the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obligations satisfied in previous periods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2,702 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Forgivable Loans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attract and retain highly skilled professionals, CRA may issue forgivable loans to employees and non-employee experts, certain of which may be denominated in local currencies. A portion of these loans is collateralized. The forgivable loans have terms that are generally between two and eight years with interest rates currently between 1.26% and 5.12%. The principal amount of forgivable loans and accrued interest is forgiven by CRA over the term of the loans, so long as the employee or non-employee expert continues employment or affiliation with CRA and complies with certain contractual requirements. During the fiscal year-to-date period ended July 4, 2026 and fiscal year ended January 3, 2026 there were no balances due under these loans for which the full principal and interest were not forgiven or not collected upon termination of employment or affiliation with CRA. The forgiveness of the principal amount of the loans is recorded as compensation over the service period, which is consistent with the term of the loans.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forgivable loan activity for the respective periods (in thousands):</w:t>
      </w:r>
    </w:p>
    <w:tbl>
      <w:tblPr>
        <w:tblW w:w="9669" w:type="dxa"/>
        <w:jc w:val="left"/>
        <w:tblInd w:w="0" w:type="dxa"/>
        <w:tblLayout w:type="fixed"/>
        <w:tblCellMar>
          <w:top w:w="28" w:type="dxa"/>
          <w:left w:w="28" w:type="dxa"/>
          <w:bottom w:w="28" w:type="dxa"/>
          <w:right w:w="28" w:type="dxa"/>
        </w:tblCellMar>
      </w:tblPr>
      <w:tblGrid>
        <w:gridCol w:w="1805"/>
        <w:gridCol w:w="1583"/>
        <w:gridCol w:w="1592"/>
        <w:gridCol w:w="109"/>
        <w:gridCol w:w="109"/>
        <w:gridCol w:w="109"/>
        <w:gridCol w:w="472"/>
        <w:gridCol w:w="1849"/>
        <w:gridCol w:w="244"/>
        <w:gridCol w:w="109"/>
        <w:gridCol w:w="109"/>
        <w:gridCol w:w="109"/>
        <w:gridCol w:w="260"/>
        <w:gridCol w:w="1020"/>
        <w:gridCol w:w="190"/>
      </w:tblGrid>
      <w:tr>
        <w:trPr/>
        <w:tc>
          <w:tcPr>
            <w:tcW w:w="1805"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Year-to-Date Period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January 3,</w:t>
              <w:br/>
              <w:t>2026</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106,997 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55,492 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81,974 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87,909 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(1,433)</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Reclassifications from accrued expenses or to other assets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(23,670)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Amortization</w:t>
            </w:r>
            <w:r>
              <w:rPr>
                <w:color w:val="000000"/>
              </w:rPr>
              <w:t xml:space="preserv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(22,143)</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(32,721)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141,595 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106,997 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forgivable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22,265 </w:t>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16,726 </w:t>
            </w:r>
          </w:p>
        </w:tc>
        <w:tc>
          <w:tcPr>
            <w:tcW w:w="19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forgivable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119,330 </w:t>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90,271 </w:t>
            </w:r>
          </w:p>
        </w:tc>
        <w:tc>
          <w:tcPr>
            <w:tcW w:w="19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CRA INTERNATIONAL,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(1)Relates to the reclassification of performance awards previously recorded as accrued expenses or forgivable loans that have been reclassified to other receivables.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(2)During the fiscal year-to-date period ended July 4, 2026, approximately $0.1 million of amortization was accelerated due to involuntary terminations. During the fiscal year ended January 3, 2026, approximately $1.1 million of amortization was accelerated due to terminations.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Goodwill and Intangible Assets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for the fiscal year-to-date period ended July 4, 2026 are summarized as follows (in thousands):</w:t>
      </w:r>
    </w:p>
    <w:tbl>
      <w:tblPr>
        <w:tblW w:w="4877" w:type="dxa"/>
        <w:jc w:val="left"/>
        <w:tblInd w:w="0" w:type="dxa"/>
        <w:tblLayout w:type="fixed"/>
        <w:tblCellMar>
          <w:top w:w="28" w:type="dxa"/>
          <w:left w:w="28" w:type="dxa"/>
          <w:bottom w:w="28" w:type="dxa"/>
          <w:right w:w="28" w:type="dxa"/>
        </w:tblCellMar>
      </w:tblPr>
      <w:tblGrid>
        <w:gridCol w:w="1215"/>
        <w:gridCol w:w="1069"/>
        <w:gridCol w:w="1075"/>
        <w:gridCol w:w="109"/>
        <w:gridCol w:w="109"/>
        <w:gridCol w:w="109"/>
        <w:gridCol w:w="211"/>
        <w:gridCol w:w="826"/>
        <w:gridCol w:w="154"/>
      </w:tblGrid>
      <w:tr>
        <w:trPr/>
        <w:tc>
          <w:tcPr>
            <w:tcW w:w="121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January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net at January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net at July 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Goodwill, net at July 4, 2026 is comprised of goodwill of $166.5 million and accumulated impairment of $71.9 million. There were no impairment losses related to goodwill during the fiscal year-to-date period ended July 4, 2026 or during the fiscal year ended January 3, 2026.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that are separable from goodwill and have determinable useful lives are valued separately and amortized using the straight-line method over their expected useful lives. There were no impairment losses related to intangible assets during the fiscal year-to-date period ended July 4, 2026 or during the fiscal year ended January 3, 2026.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components of acquired identifiable intangible assets are as follows (in thousands):</w:t>
      </w:r>
    </w:p>
    <w:tbl>
      <w:tblPr>
        <w:tblW w:w="10205" w:type="dxa"/>
        <w:jc w:val="left"/>
        <w:tblInd w:w="0" w:type="dxa"/>
        <w:tblLayout w:type="fixed"/>
        <w:tblCellMar>
          <w:top w:w="28" w:type="dxa"/>
          <w:left w:w="28" w:type="dxa"/>
          <w:bottom w:w="28" w:type="dxa"/>
          <w:right w:w="28" w:type="dxa"/>
        </w:tblCellMar>
      </w:tblPr>
      <w:tblGrid>
        <w:gridCol w:w="440"/>
        <w:gridCol w:w="387"/>
        <w:gridCol w:w="388"/>
        <w:gridCol w:w="191"/>
        <w:gridCol w:w="191"/>
        <w:gridCol w:w="192"/>
        <w:gridCol w:w="109"/>
        <w:gridCol w:w="109"/>
        <w:gridCol w:w="109"/>
        <w:gridCol w:w="220"/>
        <w:gridCol w:w="753"/>
        <w:gridCol w:w="113"/>
        <w:gridCol w:w="109"/>
        <w:gridCol w:w="109"/>
        <w:gridCol w:w="109"/>
        <w:gridCol w:w="221"/>
        <w:gridCol w:w="801"/>
        <w:gridCol w:w="114"/>
        <w:gridCol w:w="109"/>
        <w:gridCol w:w="109"/>
        <w:gridCol w:w="109"/>
        <w:gridCol w:w="220"/>
        <w:gridCol w:w="644"/>
        <w:gridCol w:w="114"/>
        <w:gridCol w:w="109"/>
        <w:gridCol w:w="109"/>
        <w:gridCol w:w="109"/>
        <w:gridCol w:w="220"/>
        <w:gridCol w:w="753"/>
        <w:gridCol w:w="113"/>
        <w:gridCol w:w="109"/>
        <w:gridCol w:w="109"/>
        <w:gridCol w:w="109"/>
        <w:gridCol w:w="251"/>
        <w:gridCol w:w="753"/>
        <w:gridCol w:w="131"/>
        <w:gridCol w:w="109"/>
        <w:gridCol w:w="109"/>
        <w:gridCol w:w="109"/>
        <w:gridCol w:w="220"/>
        <w:gridCol w:w="643"/>
        <w:gridCol w:w="170"/>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January 3, 2026</w:t>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15,300 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(10,379)</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15,300 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related to intangible assets was $0.4 million and $0.8 million for the fiscal quarter and fiscal year-to-date period ended July 4, 2026, respectively. Amortization expense related to intangible assets was $0.4 million and $0.8 million for the fiscal quarter and fiscal year-to-date period ended June 28,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Accrued Expenses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Accrued expenses consist of the following (in thousands):</w:t>
      </w:r>
    </w:p>
    <w:tbl>
      <w:tblPr>
        <w:tblW w:w="5693" w:type="dxa"/>
        <w:jc w:val="left"/>
        <w:tblInd w:w="0" w:type="dxa"/>
        <w:tblLayout w:type="fixed"/>
        <w:tblCellMar>
          <w:top w:w="28" w:type="dxa"/>
          <w:left w:w="28" w:type="dxa"/>
          <w:bottom w:w="28" w:type="dxa"/>
          <w:right w:w="28" w:type="dxa"/>
        </w:tblCellMar>
      </w:tblPr>
      <w:tblGrid>
        <w:gridCol w:w="1097"/>
        <w:gridCol w:w="965"/>
        <w:gridCol w:w="967"/>
        <w:gridCol w:w="211"/>
        <w:gridCol w:w="826"/>
        <w:gridCol w:w="109"/>
        <w:gridCol w:w="109"/>
        <w:gridCol w:w="109"/>
        <w:gridCol w:w="109"/>
        <w:gridCol w:w="211"/>
        <w:gridCol w:w="826"/>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January 3,</w:t>
              <w:br/>
              <w:t>2026</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related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project accruals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CRA INTERNATIONAL,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240" w:after="283"/>
        <w:ind w:left="0" w:right="0" w:firstLine="540"/>
        <w:jc w:val="left"/>
        <w:rPr/>
      </w:pPr>
      <w:r>
        <w:rPr>
          <w:rFonts w:ascii="Times New Roman;serif" w:hAnsi="Times New Roman;serif"/>
          <w:b w:val="false"/>
          <w:color w:val="000000"/>
          <w:sz w:val="20"/>
        </w:rPr>
        <w:t>As of July 4, 2026 and January 3, 2026, approximate</w:t>
      </w:r>
      <w:r>
        <w:rPr>
          <w:rFonts w:ascii="Times New Roman;serif" w:hAnsi="Times New Roman;serif"/>
          <w:b w:val="false"/>
          <w:color w:val="000000"/>
          <w:sz w:val="20"/>
          <w:shd w:fill="FFFFFF" w:val="clear"/>
        </w:rPr>
        <w:t xml:space="preserve">ly </w:t>
      </w:r>
      <w:r>
        <w:rPr>
          <w:rFonts w:ascii="Times New Roman;serif" w:hAnsi="Times New Roman;serif"/>
          <w:b w:val="false"/>
          <w:color w:val="000000"/>
          <w:sz w:val="20"/>
        </w:rPr>
        <w:t>$97.4 million and $161.5 million, respectively, of accrued bonuses were included above in “Compensation and related expense</w:t>
      </w:r>
      <w:r>
        <w:rPr>
          <w:rFonts w:ascii="Times New Roman;serif" w:hAnsi="Times New Roman;serif"/>
          <w:b w:val="false"/>
          <w:color w:val="000000"/>
          <w:sz w:val="20"/>
          <w:shd w:fill="FFFFFF" w:val="clear"/>
        </w:rPr>
        <w:t xml:space="preserv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Income Taxes</w:t>
      </w:r>
    </w:p>
    <w:p>
      <w:pPr>
        <w:pStyle w:val="TextBody"/>
        <w:bidi w:val="0"/>
        <w:spacing w:lineRule="auto" w:line="268" w:before="0" w:after="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fiscal quarters ended July 4, 2026 and June 28, 2025, the effective income tax rate (“ETR”) was 32.9% and 29.2%, respectively. The ETR for the fiscal quarter ended July 4, 2026 was higher than the fiscal quarter ended June 28, 2025 primarily due to an increase in nondeductible executive compensation partially offset by a remeasurement of deferred tax assets related to changes in current-year state apportionment.</w:t>
      </w:r>
    </w:p>
    <w:p>
      <w:pPr>
        <w:pStyle w:val="TextBody"/>
        <w:bidi w:val="0"/>
        <w:spacing w:before="0" w:after="0"/>
        <w:jc w:val="left"/>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0"/>
          <w:shd w:fill="FFFFFF" w:val="clear"/>
        </w:rPr>
        <w:t>For the fiscal year-to-date periods ended July 4, 2026 and June 28, 2025, CRA's ETR was 34.3% and 27.9%, respectively. The ETR for the current fiscal year-to-date period was higher than the prior year-to-date period primarily due to an increase in nondeductible executive compensation, the recording of a valuation allowance in a foreign jurisdiction, and a decrease in the tax benefit related to share-based compensation.</w:t>
      </w:r>
      <w:r>
        <w:rPr>
          <w:color w:val="000000"/>
          <w:shd w:fill="FFFFFF" w:val="clear"/>
        </w:rPr>
        <w:t xml:space="preserve"> </w:t>
      </w:r>
      <w:r>
        <w:rPr>
          <w:rFonts w:ascii="Times New Roman;serif" w:hAnsi="Times New Roman;serif"/>
          <w:b w:val="false"/>
          <w:color w:val="000000"/>
          <w:sz w:val="20"/>
          <w:shd w:fill="FFFFFF" w:val="clear"/>
        </w:rPr>
        <w:t>The increase was partially offset due to the remeasurement of deferred tax assets related to changes in current-year state apportionment and a decrease to a prior year tax reserve.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Net Income Per Share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CRA calculates basic earnings per share using the two-class method. CRA calculates diluted earnings per share using the more dilutive of either the two-class method or the treasury stock method. The two-class method was more dilutive for the fiscal quarters and fiscal year-to-date periods ended July 4, 2026 and June 28, 2025.</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two-class method, net earnings are allocated to each class of common stock and participating security as if all net earnings for the period had been distributed. CRA's participating securities consist of unvested share-based payment awards that contain a nonforfeitable right to receive dividends and therefore are considered to participate in undistributed earnings with common shareholders. Net earnings allocable to these participating securities were not material for the fiscal quarters and fiscal year-to-date periods ended July 4, 2026 and June 28, 2025.</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net income per share (in thousands, except per share data):</w:t>
      </w:r>
    </w:p>
    <w:tbl>
      <w:tblPr>
        <w:tblW w:w="10205" w:type="dxa"/>
        <w:jc w:val="left"/>
        <w:tblInd w:w="0" w:type="dxa"/>
        <w:tblLayout w:type="fixed"/>
        <w:tblCellMar>
          <w:top w:w="28" w:type="dxa"/>
          <w:left w:w="28" w:type="dxa"/>
          <w:bottom w:w="28" w:type="dxa"/>
          <w:right w:w="28" w:type="dxa"/>
        </w:tblCellMar>
      </w:tblPr>
      <w:tblGrid>
        <w:gridCol w:w="1694"/>
        <w:gridCol w:w="1493"/>
        <w:gridCol w:w="149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694"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Year-to-Date</w:t>
              <w:br/>
              <w:t>Period Ended</w:t>
            </w:r>
          </w:p>
        </w:tc>
      </w:tr>
      <w:tr>
        <w:trPr/>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participating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stock options and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Anti-dilutive share-based awards are excluded from the calculation of common stock equivalents for purposes of computing diluted weighted average shares outstanding. For the fiscal quarter and fiscal year-to-date period ended July 4,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CRA INTERNATIONAL,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anti-dilutive share-based awards that were excluded from the calculation of common stock equivalents for purposes of computing diluted weighted average shares outstanding amounted to 10,163 and 2,541 shares, respectively. For the fiscal quarter and fiscal year-to-date period ended June 28, 2025, the anti-dilutive share-based awards that were excluded from the calculation of common stock equivalents for purposes of computing diluted weighted average shares outstanding amounted to 5,229 and 1,283 shares,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Credit Agreement</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CRA is party to a Credit Agreement, dated as of August 19, 2022 (as amended, the "Existing Credit Agreement") with Bank of America, N.A., as swingline lender, a letter of credit issuing bank and administrative agent, and with Citizens Bank, N.A., as a letter of credit issuing bank. The Existing Credit Agreement provides CRA with a $300.0 million revolving credit facility, which may be decreased at CRA's option to $240.0 million during the period from July 16 in a year through January 15 in the next year. Additionally, for the period from January 16 to July 15 of each calendar year, CRA may elect to not increase the revolving credit facility to $300.0 million. The revolving credit facility includes a $25.0 million sublimit for the issuance of letters of credit. </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Existing Credit Agreement, CRA must comply with various financial and non-financial covenants. The primary financial covenants consist of a maximum consolidated net leverage ratio of 3.0 to 1.0 and a minimum consolidated interest coverage ratio of 2.5 to 1.0. The primary non-financial covenants include, but are not limited to, restrictions on CRA's ability to incur future indebtedness, engage in acquisitions or dispositions, pay dividends or repurchase capital stock, and enter into business combinations. Any indebtedness outstanding under the revolving credit facility may become immediately due upon the occurrence of stated events of default, including CRA's failure to pay principal, interest or fees, or upon the breach of any covenant. As of July 4, 2026, CRA was in compliance with the covenants of the Existing Credit Agreement.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were $219.0 million and $34.0 million in borrowings outstanding under the revolving credit facility as of July 4, 2026 and January 3, 2026, respectively. The amounts available under the revolving credit facility were reduced by certain letters of credit outstanding, which amounted to $3.7 million and $3.8 million, as of July 4, 2026 and January 3, 2026, respectively. CRA has chosen to classify the revolver as a current liability in its condensed consolidated balance sheet, as CRA has the intent to repay the amount within 12 months after the balance sheet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described in Note 8, CRA is party to standby letters of credit with its banks in support of minimum future lease payments under certain operating leases for office space.</w:t>
      </w:r>
    </w:p>
    <w:p>
      <w:pPr>
        <w:pStyle w:val="TextBody"/>
        <w:bidi w:val="0"/>
        <w:spacing w:lineRule="auto" w:line="288" w:before="240" w:after="283"/>
        <w:ind w:left="0" w:right="0" w:firstLine="540"/>
        <w:jc w:val="left"/>
        <w:rPr/>
      </w:pPr>
      <w:r>
        <w:rPr>
          <w:rFonts w:ascii="Times New Roman;serif" w:hAnsi="Times New Roman;serif"/>
          <w:b w:val="false"/>
          <w:color w:val="000000"/>
          <w:sz w:val="20"/>
        </w:rPr>
        <w:t>CRA is subject to legal actions arising in the ordinary course of business. In management’s opinion, based on current knowledge, CRA believes it has adequate legal defenses or insurance coverage, or both, with respect to the eventuality of such actions. CRA does not believe any settlement or judgment relating to any pending legal action would materially affect its financial position or results of operations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However, the outcome of such legal actions is inherently unpredictable and subject to inherent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540"/>
        <w:jc w:val="left"/>
        <w:rPr>
          <w:rFonts w:ascii="Times New Roman;serif" w:hAnsi="Times New Roman;serif"/>
          <w:b/>
          <w:color w:val="000000"/>
          <w:sz w:val="20"/>
        </w:rPr>
      </w:pPr>
      <w:r>
        <w:rPr>
          <w:rFonts w:ascii="Times New Roman;serif" w:hAnsi="Times New Roman;serif"/>
          <w:b/>
          <w:color w:val="000000"/>
          <w:sz w:val="20"/>
        </w:rPr>
        <w:t>10.    Segment Reporting</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CRA manages its business globally within one operating segment, professional and consulting services, in accordance with ASC Topic 280, </w:t>
      </w:r>
      <w:r>
        <w:rPr>
          <w:rFonts w:ascii="Times New Roman;serif" w:hAnsi="Times New Roman;serif"/>
          <w:b w:val="false"/>
          <w:i/>
          <w:color w:val="000000"/>
          <w:sz w:val="20"/>
        </w:rPr>
        <w:t>Segment Reporting</w:t>
      </w:r>
      <w:r>
        <w:rPr>
          <w:rFonts w:ascii="Times New Roman;serif" w:hAnsi="Times New Roman;serif"/>
          <w:b w:val="false"/>
          <w:color w:val="000000"/>
          <w:sz w:val="20"/>
        </w:rPr>
        <w:t xml:space="preserve">. The accounting policies of the professional and consulting services segment are the same as those described in Note 1 of CRA's Annual Report on Form 10-K for the fiscal year ended January 3, 2026, filed with the SEC on February 26, 2026.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chief operating decision maker, which is CRA's Chief Executive Officer, assesses performance for the professional and consulting services segment and decides how to allocate resources based on consolidated net income that is also reported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CRA INTERNATIONAL,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condensed consolidated statements of operations as net income. The measure of segment assets is reported in the condensed consolidated balance sheets as total assets.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consolidated net income reported by segment revenue, segment profit or loss, and significant segment expenses (in thousands):</w:t>
      </w:r>
    </w:p>
    <w:tbl>
      <w:tblPr>
        <w:tblW w:w="10205" w:type="dxa"/>
        <w:jc w:val="left"/>
        <w:tblInd w:w="0" w:type="dxa"/>
        <w:tblLayout w:type="fixed"/>
        <w:tblCellMar>
          <w:top w:w="28" w:type="dxa"/>
          <w:left w:w="28" w:type="dxa"/>
          <w:bottom w:w="28" w:type="dxa"/>
          <w:right w:w="28" w:type="dxa"/>
        </w:tblCellMar>
      </w:tblPr>
      <w:tblGrid>
        <w:gridCol w:w="1080"/>
        <w:gridCol w:w="889"/>
        <w:gridCol w:w="898"/>
        <w:gridCol w:w="138"/>
        <w:gridCol w:w="138"/>
        <w:gridCol w:w="138"/>
        <w:gridCol w:w="249"/>
        <w:gridCol w:w="937"/>
        <w:gridCol w:w="138"/>
        <w:gridCol w:w="138"/>
        <w:gridCol w:w="138"/>
        <w:gridCol w:w="138"/>
        <w:gridCol w:w="249"/>
        <w:gridCol w:w="937"/>
        <w:gridCol w:w="138"/>
        <w:gridCol w:w="138"/>
        <w:gridCol w:w="138"/>
        <w:gridCol w:w="138"/>
        <w:gridCol w:w="249"/>
        <w:gridCol w:w="937"/>
        <w:gridCol w:w="138"/>
        <w:gridCol w:w="138"/>
        <w:gridCol w:w="138"/>
        <w:gridCol w:w="138"/>
        <w:gridCol w:w="249"/>
        <w:gridCol w:w="937"/>
        <w:gridCol w:w="138"/>
        <w:gridCol w:w="109"/>
        <w:gridCol w:w="109"/>
        <w:gridCol w:w="168"/>
      </w:tblGrid>
      <w:tr>
        <w:trPr/>
        <w:tc>
          <w:tcPr>
            <w:tcW w:w="108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Year-to-Date</w:t>
              <w:br/>
              <w:t>Period Ended</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210,815 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186,878 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411,790 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368,729 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fringe benefit costs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127,839 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110,860 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255,257 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223,657 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Forgivable loan amortization</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Client reimbursable expenses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39,143 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expense </w:t>
            </w:r>
            <w:r>
              <w:rPr>
                <w:rFonts w:ascii="Times New Roman;serif" w:hAnsi="Times New Roman;serif"/>
                <w:b w:val="false"/>
                <w:color w:val="000000"/>
                <w:sz w:val="13"/>
              </w:rPr>
              <w:t>(1)</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30,313 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31,859 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57,728 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53,111 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income</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24,640 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30,124 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profit or loss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and reconciling items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24,640 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30,124 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9" w:type="dxa"/>
            <w:gridSpan w:val="27"/>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Other segment expenses included in segment net income includes, rent, commissions to non-employee experts, legal and professional services, software subscription and data services, travel and entertainment expenses, training and marketing expenses, other operating expenses, depreciation and amortization, interest expense, net, and foreign currency gains (losses), net.</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11.</w:t>
      </w:r>
      <w:r>
        <w:rPr>
          <w:color w:val="000000"/>
        </w:rPr>
        <w:t xml:space="preserve"> </w:t>
      </w:r>
      <w:r>
        <w:rPr>
          <w:rFonts w:ascii="Times New Roman;serif" w:hAnsi="Times New Roman;serif"/>
          <w:b/>
          <w:color w:val="000000"/>
          <w:sz w:val="20"/>
        </w:rPr>
        <w:t>Subsequent Events</w:t>
      </w:r>
    </w:p>
    <w:p>
      <w:pPr>
        <w:pStyle w:val="TextBody"/>
        <w:bidi w:val="0"/>
        <w:spacing w:lineRule="auto" w:line="26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July 31, 2026, CRA and its subsidiaries CRA International (UK) Limited (the “UK Borrower”) and CRA International Limited (the “Canadian Borrower” and, together with the UK Borrower, the “Designated Borrowers”; the Designated Borrowers, together with the Company, the “Borrowers”) entered into an Amended and Restated Credit Agreement (the “Credit Agreement”) among the Borrowers, Bank of America, N.A., as swingline lender, a letter of credit issuing bank and administrative agent, and the other letter of credit issuing banks and lenders party thereto. The Credit Agreement amends and restates the Company’s Credit Agreement, dated as of August 19, 2022. The Credit Agreement provides for aggregate credit facilities of up to $400 million, consisting of a $325 million revolving credit facility and a $75 million term loan facility.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August 6, 2026, CRA announced that its Board of Directors declared a quarterly cash dividend of $0.57 per common share, payable on September 14, 2026 to shareholders of record as of August 25, 2026.</w:t>
      </w:r>
    </w:p>
    <w:p>
      <w:pPr>
        <w:pStyle w:val="TextBody"/>
        <w:bidi w:val="0"/>
        <w:spacing w:before="24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Except for historical facts, the statements in this quarterly report are forward-looking statements. Forward-looking statements are merely our current predictions of future events. These statements are inherently uncertain, and actual events could differ materially from our predictions. Important factors that could cause actual events to vary from our predictions include those discussed below under the heading “Risk Factors.” We assume no obligation to update our forward-looking statements to reflect new information or developments. We urge readers to review carefully the risk factors described in the other documents that we file with the SEC. The SEC maintains a website that contains these documents, reports, proxy statements, information statements, and other information regarding issuers, such as us, that file electronically with the SEC at https://www.sec.gov.</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Additional Available Information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principal Internet address is www.crai.com. Our website provides a link to a third-party website through which our annual, quarterly, and current reports, and amendments to those reports, are available free of charge. We do not maintain or provide any information directly to the third-party website, and we do not check its accuracy.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critical accounting policies involving the more significant estimates and judgments used in the preparation of our financial statements as of July 4, 2026 remain unchanged from January 3, 2026. Please refer to Part II, Item 7, “Management’s Discussion and Analysis of Financial Condition and Results of Operations” of our Annual Report on Form 10-K for the fiscal year ended January 3, 2026, filed with the SEC on February 26, 2026 for details on these critical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Standards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are no recent accounting standards that impact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Operations—For the Fiscal Quarter and Fiscal Year-to-Date Period Ended July 4, 2026, Compared to the Fiscal Quarter and Fiscal Year-to-Date Period Ended June 28, 2025</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operating information as a percentage of revenues for the periods indicated:</w:t>
      </w:r>
    </w:p>
    <w:tbl>
      <w:tblPr>
        <w:tblW w:w="10134" w:type="dxa"/>
        <w:jc w:val="left"/>
        <w:tblInd w:w="0" w:type="dxa"/>
        <w:tblLayout w:type="fixed"/>
        <w:tblCellMar>
          <w:top w:w="28" w:type="dxa"/>
          <w:left w:w="28" w:type="dxa"/>
          <w:bottom w:w="28" w:type="dxa"/>
          <w:right w:w="28" w:type="dxa"/>
        </w:tblCellMar>
      </w:tblPr>
      <w:tblGrid>
        <w:gridCol w:w="1849"/>
        <w:gridCol w:w="1624"/>
        <w:gridCol w:w="1641"/>
        <w:gridCol w:w="308"/>
        <w:gridCol w:w="308"/>
        <w:gridCol w:w="333"/>
        <w:gridCol w:w="109"/>
        <w:gridCol w:w="109"/>
        <w:gridCol w:w="109"/>
        <w:gridCol w:w="308"/>
        <w:gridCol w:w="308"/>
        <w:gridCol w:w="399"/>
        <w:gridCol w:w="109"/>
        <w:gridCol w:w="109"/>
        <w:gridCol w:w="109"/>
        <w:gridCol w:w="308"/>
        <w:gridCol w:w="308"/>
        <w:gridCol w:w="333"/>
        <w:gridCol w:w="128"/>
        <w:gridCol w:w="128"/>
        <w:gridCol w:w="128"/>
        <w:gridCol w:w="308"/>
        <w:gridCol w:w="308"/>
        <w:gridCol w:w="453"/>
      </w:tblGrid>
      <w:tr>
        <w:trPr/>
        <w:tc>
          <w:tcPr>
            <w:tcW w:w="1849"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Quarter</w:t>
              <w:br/>
              <w:t>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Year-to-Date</w:t>
              <w:br/>
              <w:t>Period Ended</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services (exclusive of depreciation and amortization)</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4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gains (losses),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4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4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Fiscal Quarter Ended July 4, 2026, Compared to the Fiscal Quarter Ended June 28, 2025</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Revenues.</w:t>
      </w:r>
      <w:r>
        <w:rPr>
          <w:color w:val="000000"/>
        </w:rPr>
        <w:t xml:space="preserve"> </w:t>
      </w:r>
      <w:r>
        <w:rPr>
          <w:rFonts w:ascii="Times New Roman;serif" w:hAnsi="Times New Roman;serif"/>
          <w:b w:val="false"/>
          <w:color w:val="000000"/>
          <w:sz w:val="20"/>
        </w:rPr>
        <w:t xml:space="preserve">Revenues increased by $23.9 million, or 12.8%, to $210.8 million for the second quarter of fiscal 2026 from $186.9 million for the second quarter of fiscal 2025. Utilization increased to 77% for the second quarter of fiscal 2026 from 76% for the second quarter of fiscal 2025, while consultant headcount increased to 968 at the end of the second quarter of fiscal 2026 from 937 at the end of the second quarter of fiscal 2025.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Overall, revenues outside of the U.S. represented approximately 22% and 19% of net revenues for the second quarter of fiscal 2026 and fiscal 2025, respectively. Revenues derived from fixed-price projects increased to 23% of net revenues for the second quarter of fiscal 2026 compared to 16% of net revenues for the second quarter of fiscal 2025. The percentage of revenue derived from fixed-price projects depends largely on the proportion of our revenues derived from our management consulting business, which typically has a higher concentration of fixed-price service contracts.</w:t>
      </w:r>
    </w:p>
    <w:p>
      <w:pPr>
        <w:pStyle w:val="TextBody"/>
        <w:bidi w:val="0"/>
        <w:spacing w:lineRule="auto" w:line="288" w:before="240" w:after="283"/>
        <w:ind w:left="0" w:right="0" w:firstLine="540"/>
        <w:jc w:val="left"/>
        <w:rPr/>
      </w:pPr>
      <w:r>
        <w:rPr>
          <w:rFonts w:ascii="Times New Roman;serif" w:hAnsi="Times New Roman;serif"/>
          <w:b w:val="false"/>
          <w:i/>
          <w:color w:val="000000"/>
          <w:sz w:val="20"/>
          <w:shd w:fill="FFFFFF" w:val="clear"/>
        </w:rPr>
        <w:t>Costs of Services (exclusive of depreciation and amorti</w:t>
      </w:r>
      <w:r>
        <w:rPr>
          <w:rFonts w:ascii="Times New Roman;serif" w:hAnsi="Times New Roman;serif"/>
          <w:b w:val="false"/>
          <w:i/>
          <w:color w:val="000000"/>
          <w:sz w:val="20"/>
        </w:rPr>
        <w:t>zation).</w:t>
      </w:r>
      <w:r>
        <w:rPr>
          <w:color w:val="000000"/>
        </w:rPr>
        <w:t xml:space="preserve"> </w:t>
      </w:r>
      <w:r>
        <w:rPr>
          <w:rFonts w:ascii="Times New Roman;serif" w:hAnsi="Times New Roman;serif"/>
          <w:b w:val="false"/>
          <w:color w:val="000000"/>
          <w:sz w:val="20"/>
        </w:rPr>
        <w:t>Costs of services (exclusive of depreciation and amortization) increased by $20.2 million, or 15.7%, to $148.7 million for the second quarter of fiscal 2026 from $128.5 million for the second quarter of fiscal 2025. The increase in costs of services was due to an increase in employee and incentive compensation of $15.1 million, an increase in forgivable loan amortization, including performance award amortization of $4.7 million, and an increase in client reimbursable expenses of $0.5 million, partially offset by a decrease of $0.1 million in indirect project expenses. As a percentage of revenues, costs of services (exclusive of depreciation and amortization) increased to 70.6% for the second quarter of fiscal 2026 from 68.8% for the second quarter of fiscal 2025.</w:t>
      </w:r>
    </w:p>
    <w:p>
      <w:pPr>
        <w:pStyle w:val="TextBody"/>
        <w:bidi w:val="0"/>
        <w:spacing w:lineRule="auto" w:line="288" w:before="240" w:after="283"/>
        <w:ind w:left="0" w:right="0" w:firstLine="540"/>
        <w:jc w:val="left"/>
        <w:rPr/>
      </w:pPr>
      <w:r>
        <w:rPr>
          <w:rFonts w:ascii="Times New Roman;serif" w:hAnsi="Times New Roman;serif"/>
          <w:b w:val="false"/>
          <w:i/>
          <w:color w:val="000000"/>
          <w:sz w:val="20"/>
          <w:shd w:fill="FFFFFF" w:val="clear"/>
        </w:rPr>
        <w:t>Selling,</w:t>
      </w:r>
      <w:r>
        <w:rPr>
          <w:color w:val="000000"/>
        </w:rPr>
        <w:t xml:space="preserve"> </w:t>
      </w:r>
      <w:r>
        <w:rPr>
          <w:rFonts w:ascii="Times New Roman;serif" w:hAnsi="Times New Roman;serif"/>
          <w:b w:val="false"/>
          <w:i/>
          <w:color w:val="000000"/>
          <w:sz w:val="20"/>
        </w:rPr>
        <w:t>General and Administrative Expenses.</w:t>
      </w:r>
      <w:r>
        <w:rPr>
          <w:color w:val="000000"/>
        </w:rPr>
        <w:t xml:space="preserve"> </w:t>
      </w:r>
      <w:r>
        <w:rPr>
          <w:rFonts w:ascii="Times New Roman;serif" w:hAnsi="Times New Roman;serif"/>
          <w:b w:val="false"/>
          <w:color w:val="000000"/>
          <w:sz w:val="20"/>
        </w:rPr>
        <w:t>Selling, general and administrative expenses increased by $0.2 million, or 0.6%, to $35.3 million for the second quarter of fiscal 2026 from $35.1 million for the second quarter of fiscal 2025. Within this category of expenses, there was a $2.2 million increase in employee and incentive compensation and a $1.1 million increase in software subscriptions and data services, partially offset by a $1.9 million decrease in commissions to non-employee experts, a $0.7 million decrease in miscellaneous and other fees, and a $0.5 million decrease in travel and entertainment for the second quarter of fiscal 2026 as compared to the second quarter of fiscal 2025.</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percentage of revenues, selling, general and administrative expenses decreased to 16.7% for the second quarter of fiscal 2026 from 18.8% for the second quarter of fiscal 2025. Commissions to our non-employee experts decreased to 1.3% of revenues for the second quarter of fiscal 2026 compared to 2.4% of revenues for the second quarter of fiscal 2025.</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 xml:space="preserve">Provision for Income Taxes. </w:t>
      </w:r>
      <w:r>
        <w:rPr>
          <w:rFonts w:ascii="Times New Roman;serif" w:hAnsi="Times New Roman;serif"/>
          <w:b w:val="false"/>
          <w:color w:val="000000"/>
          <w:sz w:val="20"/>
        </w:rPr>
        <w:t>The income tax provision was $6.6 million and the ETR was 32.9% for the second quarter of fiscal 2026 compared to $5.0 million and 29.2% for the second quarter of fiscal 2025. The ETR for the fiscal quarter ended July 4, 2026 was higher than the fiscal quarter ended June 28, 2025 primarily due to an increase in nondeductible executive compensation partially offset by a remeasu</w:t>
      </w:r>
      <w:r>
        <w:rPr>
          <w:rFonts w:ascii="Times New Roman;serif" w:hAnsi="Times New Roman;serif"/>
          <w:b w:val="false"/>
          <w:color w:val="000000"/>
          <w:sz w:val="20"/>
          <w:shd w:fill="FFFFFF" w:val="clear"/>
        </w:rPr>
        <w:t xml:space="preserve">rement of deferred tax assets related to changes in current-year state apportionment. The ETR for the second quarters of fiscal 2026 and 2025 were both higher than the combined federal and state statutory tax rate primarily due to nondeductible executive compensation and nondeductible meals and entertainment expenses, partially offset by the tax benefit related to share-based compensation and the Foreign-Derived Deduction Eligible Income deduction. Specific to the current quarter, an additional offset relates to the remeasurement of deferred tax assets related to changes in current-year </w:t>
      </w:r>
      <w:r>
        <w:rPr>
          <w:rFonts w:ascii="Times New Roman;serif" w:hAnsi="Times New Roman;serif"/>
          <w:b w:val="false"/>
          <w:color w:val="000000"/>
          <w:sz w:val="20"/>
        </w:rPr>
        <w:t>state apportionment.</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Net Income.</w:t>
      </w:r>
      <w:r>
        <w:rPr>
          <w:color w:val="000000"/>
        </w:rPr>
        <w:t xml:space="preserve"> </w:t>
      </w:r>
      <w:r>
        <w:rPr>
          <w:rFonts w:ascii="Times New Roman;serif" w:hAnsi="Times New Roman;serif"/>
          <w:b w:val="false"/>
          <w:color w:val="000000"/>
          <w:sz w:val="20"/>
        </w:rPr>
        <w:t>Net income increased to $13.5 million for the second quarter of fiscal 2026 from $12.1 million for the second quarter of fiscal 2025. The net income per diluted share was $2.10 per share for the second quarter of fiscal 2026, compared to $1.79 for the second quarter of fiscal 2025. Weighted average diluted shares outstanding decreased by approximately 346,000 shares to approximately 6,407,000 shares for the second quarter of fiscal 2026 from approximately 6,753,000 shares for the second quarter of fiscal 2025. The decrease in weighted average diluted shares outstanding was primarily due to the repurchase of shares of our common stock since June 28, 2025, offset in part by the vesting of shares of restricted stock and time-vesting restricted stock units since June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Fiscal Year-to-Date Period Ended July 4, 2026, Compared to the Fiscal Year-to-Date Period Ended June 28, 2025</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Revenues.</w:t>
      </w:r>
      <w:r>
        <w:rPr>
          <w:color w:val="000000"/>
        </w:rPr>
        <w:t xml:space="preserve"> </w:t>
      </w:r>
      <w:r>
        <w:rPr>
          <w:rFonts w:ascii="Times New Roman;serif" w:hAnsi="Times New Roman;serif"/>
          <w:b w:val="false"/>
          <w:color w:val="000000"/>
          <w:sz w:val="20"/>
        </w:rPr>
        <w:t xml:space="preserve">Revenues increased by $43.1 million, or 11.7%, to $411.8 million for the fiscal year-to-date period ended July 4, 2026 from $368.7 million for the fiscal year-to-date period ended June 28, 2025. Utilization increased to 77% for the fiscal year-to-date period ended July 4, 2026 from 76% for the fiscal year-to-date period ended June 28, 2025, while consultant headcount increased from 937 at the end of the second quarter of fiscal 2025 to 968 at the end of the second quarter of fiscal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Overall, revenues outside of the U.S. represented approximately 21% and 18% of net revenues for the fiscal year-to-date period ended July 4, 2026 and June 28, 2025, respectively. Revenues derived from fixed-price projects increased to 20% of net revenues for the fiscal year-to-date period ended July 4, 2026 compared to 16% of net revenues for the fiscal year-to-date period ended June 28, 2025. The percentage of revenue derived from fixed-price projects depends largely on the proportion of our revenues derived from our management consulting business, which typically has a higher concentration of fixed-price service contracts.</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Costs of Services (exclusive of depreciation and amortization).</w:t>
      </w:r>
      <w:r>
        <w:rPr>
          <w:color w:val="000000"/>
        </w:rPr>
        <w:t xml:space="preserve"> </w:t>
      </w:r>
      <w:r>
        <w:rPr>
          <w:rFonts w:ascii="Times New Roman;serif" w:hAnsi="Times New Roman;serif"/>
          <w:b w:val="false"/>
          <w:color w:val="000000"/>
          <w:sz w:val="20"/>
        </w:rPr>
        <w:t>Costs of services (exclusive of depreciation and amortization) increased by $44.9 million, or 18.0%, to $293.8 million for the fiscal year-to-date period ended July 4, 2026 from $248.9 million for the fiscal year-to-date period ended June 28, 2025. The increase in costs of services was due to an increase of $27.1 million in employee compensation and fringe benefit costs, an increase in forgivable loan amortization of $14.8 million, and an increase of $3.0 million in client reimbursable expenses. As a percentage of revenues, costs of services (exclusive of depreciation and amortization) increased to 71.3% for the fiscal year-to-date period ended July 4, 2026 from 67.5% for the fiscal year-to-date period ended June 28, 2025.</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Selling, General and Administrative Expenses.</w:t>
      </w:r>
      <w:r>
        <w:rPr>
          <w:color w:val="000000"/>
        </w:rPr>
        <w:t xml:space="preserve"> </w:t>
      </w:r>
      <w:r>
        <w:rPr>
          <w:rFonts w:ascii="Times New Roman;serif" w:hAnsi="Times New Roman;serif"/>
          <w:b w:val="false"/>
          <w:color w:val="000000"/>
          <w:sz w:val="20"/>
        </w:rPr>
        <w:t>Selling, general and administrative expenses increased by $2.2 million, or 3.3%, to $69.8 million for the fiscal year-to-date period ended July 4, 2026 from $67.6 million for the fiscal year-to-date period ended June 28, 2025. Within this category of expenses, there was a $3.1 million increase in employee compensation and fringe benefit costs, a $1.8 million increase in software subscriptions and data services, a $0.7 million increase in legal and professional service fees, a $0.3 million increase in rent expense, and a $0.3 million increase in travel and entertainment expense, partially offset by a $2.7 million decrease in commissions to non-employee experts, and a $1.3 million decrease in miscellaneous and other fees for the fiscal year-to-date period ended July 4, 2026 as compared to the fiscal year-to-date period ended June 28, 2025.</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percentage of revenues, selling, general and administrative expenses decreased to 16.9% for the fiscal year-to-date period ended July 4, 2026 from 18.3% for the fiscal year-to-date period ended June 28, 2025. Commissions to our non-employee experts decreased to 1.4% of revenues for the fiscal year-to-date period ended July 4, 2026 compared to 2.3% of revenues for the fiscal year-to-date period ended June 28, 2025.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pPr>
      <w:r>
        <w:rPr>
          <w:rFonts w:ascii="Times New Roman;serif" w:hAnsi="Times New Roman;serif"/>
          <w:b w:val="false"/>
          <w:i/>
          <w:color w:val="000000"/>
          <w:sz w:val="20"/>
          <w:shd w:fill="FFFFFF" w:val="clear"/>
        </w:rPr>
        <w:t>Provision for Income Taxes.</w:t>
      </w:r>
      <w:r>
        <w:rPr>
          <w:color w:val="000000"/>
          <w:shd w:fill="FFFFFF" w:val="clear"/>
        </w:rPr>
        <w:t xml:space="preserve"> </w:t>
      </w:r>
      <w:r>
        <w:rPr>
          <w:rFonts w:ascii="Times New Roman;serif" w:hAnsi="Times New Roman;serif"/>
          <w:b w:val="false"/>
          <w:color w:val="000000"/>
          <w:sz w:val="20"/>
          <w:shd w:fill="FFFFFF" w:val="clear"/>
        </w:rPr>
        <w:t>The income tax provision was $12.9 million and the ETR was 34.3% for the fiscal year-to-date period ended July 4, 2026, compared to $11.6 million and 27.9% for the fiscal year-to-date period ended June 28, 2025. The ETR for the fiscal year-to-date period ended July 4, 2026 was higher than the fiscal year-to-date period ended June 28, 2025 primarily due to an increase in nondeductible executive compensation, the recording of a valuation allowance in a foreign jurisdiction, and a decrease in the tax benefit related to share-based compensation. The increase was partially offset due to the remeasurement of deferred tax assets related to changes in current-year state apportionment and a decrease to a prior year tax reserve. The ETR for the current and prior fiscal year-to-date periods were both higher than the combined federal and state statutory tax rate primarily due to nondeductible executive compensation and nondeductible meals and entertainment expenses, partially offset by the tax benefit related to share-based compensation and the Foreign-Derived Deduction Eligible Income deduction. Specific to the current fiscal year-to-date period, the ETR was also higher due to the recording of a valuation allowance in a foreign jurisdiction, partially offset by a remeasurement of deferred tax assets related to changes in current-year state apportionment and a decrease to a prior year tax reserve.</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pPr>
      <w:r>
        <w:rPr>
          <w:rFonts w:ascii="Times New Roman;serif" w:hAnsi="Times New Roman;serif"/>
          <w:b w:val="false"/>
          <w:i/>
          <w:color w:val="000000"/>
          <w:sz w:val="20"/>
        </w:rPr>
        <w:t>Net Income.</w:t>
      </w:r>
      <w:r>
        <w:rPr>
          <w:color w:val="000000"/>
        </w:rPr>
        <w:t xml:space="preserve"> </w:t>
      </w:r>
      <w:r>
        <w:rPr>
          <w:rFonts w:ascii="Times New Roman;serif" w:hAnsi="Times New Roman;serif"/>
          <w:b w:val="false"/>
          <w:color w:val="000000"/>
          <w:sz w:val="20"/>
        </w:rPr>
        <w:t>Net income decreased by $5.5 million to $24.6 million for the fiscal year-to-date period ended July 4, 2026 from $30.1 million for the fiscal year-to-date period ended June 28, 2025. The diluted net income per share was $3.79 for the fiscal year-to-date period ended July 4, 2026, compared to diluted net income per share of $4.42 for the fiscal year-to-date period ended June 28, 2025. Weighted average diluted shares outstanding decreased by approximately 309,000 shares to approximately 6,498,000 shares for the fiscal year-to-date period ended July 4, 2026 from approximately 6,807,000 shares for the fiscal year-to-date period ended June 28, 2025. The decrease in weighted average diluted shares outstanding was primarily due to the repurchase of shares of our common stock since June 28, 2025, offset in part by the vesting of shares of restricted stock and time-vesting restricted stock units since June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Fiscal Year-to-Date Period Ended July 4, 2026</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our current cash, cash equivalents, cash generated from operations, and amounts available under our revolving credit facility will be sufficient to meet our anticipated working capital and capital expenditure requirements for at least the next 12 months. As of July 4, 2026, we had $21.4 million of cash and cash equivalents and $77.3 million of borrowing capacity under our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erif" w:hAnsi="Times New Roman;serif"/>
          <w:b w:val="false"/>
          <w:i/>
          <w:color w:val="000000"/>
          <w:sz w:val="20"/>
        </w:rPr>
        <w:t>General.</w:t>
      </w:r>
      <w:r>
        <w:rPr>
          <w:color w:val="000000"/>
        </w:rPr>
        <w:t xml:space="preserve"> </w:t>
      </w:r>
      <w:r>
        <w:rPr>
          <w:rFonts w:ascii="Times New Roman;serif" w:hAnsi="Times New Roman;serif"/>
          <w:b w:val="false"/>
          <w:color w:val="000000"/>
          <w:sz w:val="20"/>
        </w:rPr>
        <w:t>During the fiscal year-to-date period ended July 4, 2026, cash and cash equivalents increased by $3.2 million. We completed the period with cash and cash equivalents of $21.4 million. The principal drivers of the increase in cash and cash equivalents were net borrowings of $185.0 million, offset by the payment of a significant portion of our fiscal 2025 performance bonuses in the first quarter of fiscal 2026, forgivable loan advances, repurchase of shares, and the payment of dividends.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July 4, 2026, $6.4 million of our cash and cash equivalents was held within the U.S. We have sufficient sources of liquidity in the U.S., including cash flow from operations and availability on our revolving credit facility to fund U.S. operations for the next 12 months without the need to repatriate funds from our foreign subsidiaries.</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Sources and Uses of Cash.</w:t>
      </w:r>
      <w:r>
        <w:rPr>
          <w:color w:val="000000"/>
        </w:rPr>
        <w:t xml:space="preserve"> </w:t>
      </w:r>
      <w:r>
        <w:rPr>
          <w:rFonts w:ascii="Times New Roman;serif" w:hAnsi="Times New Roman;serif"/>
          <w:b w:val="false"/>
          <w:color w:val="000000"/>
          <w:sz w:val="20"/>
        </w:rPr>
        <w:t xml:space="preserve">During the fiscal year-to-date period ended July 4, 2026, net cash used in operating activities was $118.3 million. Net income was $24.6 million for the fiscal year-to-date period ended July 4, 2026. Uses of cash for operating activities included a decrease in accounts payable, accrued expenses, and other liabilities of $77.9 million, primarily due to the payment of a significant portion of our fiscal 2025 performance bonuses, an increase in forgivable loans for the period of $58.3 million which was primarily driven by $80.4 million of forgivable loan issuances, net of repayments, offset by $22.1 million of forgivable loan amortization, a decrease of $14.7 million in accounts receivable, and a $9.2 million decrease in lease liabilities. Partially offsetting these uses of cash was an increase of $38.3 million in unbilled receivables, an increase of $6.4 million in incentive cash awards payable, and a $1.4 million increase in prepaid expenses and other current assets, and other assets.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Non-cash items included right-of-use amortization of $7.4 million, depreciation and amortization expense of $6.7 million, share-based compensation expenses of $3.8 million, and deferred income taxes of $3.2 million.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fiscal year-to-date period ended July 4, 2026, net cash used in investing activities was $4.3 million, which consisted of capital expenditures, primarily related to computer equipment, software and furniture.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fiscal year-to-date period ended July 4, 2026, net cash provided by financing activities was $126.2 million, primarily as a result of net borrowings under the revolving credit facility of $185.0 million. Offsetting this increase in cash provided by financing activities were repurchases of common stock of $49.3 million, payment of cash dividends and dividend equivalents of $7.4 million, and tax withholding payments reimbursed by restricted shares on vesting of $2.1 million.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Lease Commitments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 lessee under certain operating leases for office space and equipment. Certain of our operating leases have terms that impose asset retirement obligations due to office modifications or the periodic redecoration of the premises, which are included in deferred compensation and other non-current liabilities on our condensed consolidated balance sheets and are recorded at a value based on their estimated discounted cash flows. At July 4, 2026, we do not expect to incur asset retirement obligation or redecoration obligation costs over the next twelve months. The remainder of our asset retirement obligations and redecoration obligations are approximately $3.0 million and are expected to be paid between fiscal year 2026 and fiscal year 2035 when the underlying leases terminate or when the respective lease agreement requires redecoration. We expect to satisfy these lease and related obligations as they become due from cash generated from operations.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Indebtedness</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CRA is party to a Credit Agreement, dated as of August 19, 2022 (as amended, the "Existing Credit Agreement") with Bank of America, N.A., as swingline lender, a letter of credit issuing bank and administrative agent, and with Citizens Bank, N.A., as a letter of credit issuing bank. The Existing Credit Agreement provides CRA with a $300.0 million revolving credit facility, which may be decreased at CRA's option to $240.0 million during the period from July 16 in a year through January 15 in the next year. Additionally, for the period from January 16 to July 15 of each calendar year, CRA may elect to not increase the revolving credit facility to $300.0 million. The revolving credit facility includes a $25.0 million sublimit for the issuance of letters of credit.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may use the proceeds of the revolving credit loans under the Existing Credit Agreement for general corporate purposes and may repay any borrowings under the revolving credit facility at any time, but any borrowings must be repaid no later than August 19, 2027. Borrowings under the revolving credit facility bear interest at a rate per annum equal to one of the following rates, at our election, plus an applicable margin as described below: (i) in the case of borrowings in U.S. dollars by us, the Base Rate (as defined in the Existing Credit Agreement), (ii) in the case of borrowings in U.S. dollars, a rate based on Term SOFR (as defined in the Existing Credit Agreement) for the applicable interest period, (iii) in the case of borrowings in Euros, EURIBOR (as defined in the Existing Credit Agreement) for the applicable interest period, (iv) in the case of borrowings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Pounds Sterling, a daily rate based on SONIA (as defined in the Existing Credit Agreement), (v) in the case of borrowings in Canadian Dollars, Term CORRA (as defined in the Existing Credit Agreement) for the applicable interest period, (vi) in the case of borrowings in Swiss Francs, a daily rate based on SARON (as defined in the Existing Credit Agreement), or (vii) in the case of borrowings in any other Alternate Currency (as defined in the Existing Credit Agreement), the relevant daily or term rate determined as provided in the Existing Credit Agreement. The applicable margin on borrowings based on the Base Rate varies within a range of 0.25% to 1.00% depending on our consolidated net leverage ratio, and the applicable margin on borrowings based on any of the other rates described above varies within a range of 1.25% to 2.00% depending on our consolidated net leverage ratio.</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required to pay a fee on the amount available to be drawn under any letter of credit issued under the revolving credit facility at a rate per annum that varies between 1.25% and 2.00% depending on our consolidated net leverage ratio. In addition, we are required to pay a fee on the unused portion of the revolving credit facility at a rate per annum that varies between 0.175% and 0.250% depending on our consolidated net leverage ratio.</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Existing Credit Agreement, we must comply with various financial and non-financial covenants. The primary financial covenants consist of a maximum consolidated net leverage ratio of 3.0 to 1.0 and a minimum consolidated interest coverage ratio of 2.5 to 1.0. The primary non-financial covenants include, but are not limited to, restrictions on our ability to incur future indebtedness, engage in acquisitions or dispositions, pay dividends or repurchase capital stock, and enter into business combinations. Any indebtedness outstanding under the revolving credit facility may become immediately due upon the occurrence of stated events of default, including our failure to pay principal, interest or fees, or upon the breach of any covenant. As of July 4, 2026, we were in compliance with the covenants of the Existing Credit Agreement.</w:t>
      </w:r>
    </w:p>
    <w:p>
      <w:pPr>
        <w:pStyle w:val="TextBody"/>
        <w:bidi w:val="0"/>
        <w:spacing w:lineRule="auto" w:line="26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were $219.0 million and $34.0 million in borrowings outstanding under the revolving credit facility as of July 4, 2026 and January 3, 2026, respectively. The amounts available under the revolving credit facility were reduced by certain letters of credit outstanding, which amounted to $3.7 million and $3.8 million, as of July 4, 2026 and January 3, 2026, respectively. We have chosen to classify the revolver as a current liability in its condensed consolidated balance sheet, as we have the intent to repay the amount within 12 months after the balance sheet date.</w:t>
      </w:r>
    </w:p>
    <w:p>
      <w:pPr>
        <w:pStyle w:val="TextBody"/>
        <w:bidi w:val="0"/>
        <w:spacing w:lineRule="auto" w:line="26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Subsequent to July 4, 2026, CRA entered into a new credit facility with certain lenders, certain letter of credit issuers, and Bank of America, N.A., as administrative agent. For more information, see Note 11, Subsequent Events and Part II, Item 5, "Other Information" of this report.</w:t>
      </w:r>
    </w:p>
    <w:p>
      <w:pPr>
        <w:pStyle w:val="TextBody"/>
        <w:bidi w:val="0"/>
        <w:spacing w:lineRule="auto" w:line="26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Forgivable Loans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order to attract and retain highly skilled professionals, we may issue forgivable loans or term loans to employees and non-employee experts. A portion of these loans is collateralized by key person life insurance. The forgivable loans have terms that are generally between two and eight years. The principal amount of forgivable loans and accrued interest is forgiven by us over the term of the loans, so long as the employee or non-employee expert continues employment or affiliation with us and complies with certain contractual requirements. The forgiveness of the principal amount of the loans is recorded as compensation over the service period, which is consistent with the term of the loans.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Compensation Arrangements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entered into compensation arrangements for the payment of performance awards to certain of our employees and non-employee experts that are payable if specific performance targets are met. The financial targets may include a measure of revenue generation, profitability, or both. The amounts of the awards to be paid under these compensation arrangements could fluctuate depending on future performance during the applicable measurement periods. Changes in the estimated awards are expensed prospectively over the remaining service period. We believe that we will have sufficient funds to satisfy any cash obligations related to the performance awards. We expect to fund any cash payments from existing cash resources, cash generated from operations, or borrowings available on our revolving credit facility.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2006 Equity Incentive Plan, as amended (the "2006 Equity Plan"), authorizes the grant of a variety of incentive and performance equity awards to our directors, employees and non-employee experts, including stock options, shares of restricted stock, restricted stock units, and other equity awards. </w:t>
      </w:r>
    </w:p>
    <w:p>
      <w:pPr>
        <w:pStyle w:val="TextBody"/>
        <w:bidi w:val="0"/>
        <w:spacing w:lineRule="auto" w:line="26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long-term incentive program, (the “LTIP”) is used as a framework for equity grants made under our 2006 Equity Plan to our senior corporate leaders, practice leaders, and key revenue generators. The equity awards granted under the LTIP include stock options, time-vesting restricted stock units, and performance-vesting restricted stock units.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LTIP allows us to grant service and performance-based cash awards in lieu of, or in addition to, equity awards to our senior corporate leaders, practice leaders, and key revenue generators. The compensation committee of our Board of Directors is responsible for approving all cash and equity awards under the LTIP. We expect to fund any cash payments from existing cash resources, cash generated from operations, or borrowings available under our revolving credit facility.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Business and Talent Acquisitions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business, we regularly evaluate opportunities to acquire other consulting firms, practices or groups, or other businesses. In recent years, we have typically paid for acquisitions with cash, or a combination of cash and our common stock, and we may continue to do so in the future. To pay for an acquisition, we may use cash on hand, cash generated from our operations, borrowings available under our revolving credit facility, or we may pursue other forms of financing. Our ability to secure short-term and long-term debt or equity financing in the future, including our ability to refinance our credit agreement, will depend on several factors, including our future profitability, the levels of our debt and equity, restrictions under our existing revolving credit facility with our bank, and the overall credit and equity market environments.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February 2026, we announced that our Board of Directors authorized an expansion to our existing share repurchase program by an additional $55.0 million of our common stock, in addition to the $10.9 million then remaining under the program. The program has no expiration date. We may repurchase shares under this program in open market purchases (including through any Rule 10b5-1 plan adopted by us) or in privately negotiated transactions in accordance with applicable insider trading and other securities laws and regulations.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fiscal quarter and fiscal year-to-date period ended July 4, 2026, we repurchased and retired 192,945 and 308,985 shares under our share repurchase program at an average price per share of $144.29 and $159.56, respectively. During the fiscal quarter and the fiscal year-to-date period ended June 28, 2025, we repurchased and retired 230,673 shares under our share repurchase program at an average price per share of $187.06. We had approximately $16.6 million available for future repurchases under our share repurchase program as of July 4, 2026. We plan to finance future repurchases with available cash, cash from future operations, and borrowings available under our revolving credit facility. We expect to continue to repurchase shares under our share repurchase program.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Dividends to Shareholders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We anticipate paying regular quarterly dividends each year. These dividends are anticipated to be funded through cash flow from operations, available cash on hand, and/or borrowings available under our revolving credit facility. Although we anticipate paying regular quarterly dividends on our common stock for the foreseeable future, the declaration, timing and amounts of any such dividends remain subject to the discretion of our Board of Directors. During the fiscal quarter and fiscal year-to-date period ended July 4, 2026 we paid dividends and dividend equivale</w:t>
      </w:r>
      <w:r>
        <w:rPr>
          <w:rFonts w:ascii="Times New Roman;serif" w:hAnsi="Times New Roman;serif"/>
          <w:b w:val="false"/>
          <w:color w:val="000000"/>
          <w:sz w:val="20"/>
          <w:shd w:fill="FFFFFF" w:val="clear"/>
        </w:rPr>
        <w:t>nts</w:t>
      </w:r>
      <w:r>
        <w:rPr>
          <w:color w:val="000000"/>
        </w:rPr>
        <w:t xml:space="preserve"> </w:t>
      </w:r>
      <w:r>
        <w:rPr>
          <w:rFonts w:ascii="Times New Roman;serif" w:hAnsi="Times New Roman;serif"/>
          <w:b w:val="false"/>
          <w:color w:val="000000"/>
          <w:sz w:val="20"/>
        </w:rPr>
        <w:t>of $3.6 million and $7.4 million, respectively.</w:t>
      </w:r>
      <w:r>
        <w:rPr>
          <w:color w:val="000000"/>
          <w:shd w:fill="FFFFFF" w:val="clear"/>
        </w:rPr>
        <w:t xml:space="preserve"> </w:t>
      </w:r>
      <w:r>
        <w:rPr>
          <w:rFonts w:ascii="Times New Roman;serif" w:hAnsi="Times New Roman;serif"/>
          <w:b w:val="false"/>
          <w:color w:val="000000"/>
          <w:sz w:val="20"/>
        </w:rPr>
        <w:t>During the fiscal quarter and fiscal year-to-date period ended June 28, 2025, we paid dividends and dividend equivale</w:t>
      </w:r>
      <w:r>
        <w:rPr>
          <w:rFonts w:ascii="Times New Roman;serif" w:hAnsi="Times New Roman;serif"/>
          <w:b w:val="false"/>
          <w:color w:val="000000"/>
          <w:sz w:val="20"/>
          <w:shd w:fill="FFFFFF" w:val="clear"/>
        </w:rPr>
        <w:t>nts of</w:t>
      </w:r>
      <w:r>
        <w:rPr>
          <w:color w:val="000000"/>
        </w:rPr>
        <w:t xml:space="preserve"> </w:t>
      </w:r>
      <w:r>
        <w:rPr>
          <w:rFonts w:ascii="Times New Roman;serif" w:hAnsi="Times New Roman;serif"/>
          <w:b w:val="false"/>
          <w:color w:val="000000"/>
          <w:sz w:val="20"/>
        </w:rPr>
        <w:t>$3.4 million and $6.9 million, respectively.</w:t>
      </w:r>
      <w:r>
        <w:rPr>
          <w:color w:val="000000"/>
          <w:shd w:fill="FFFFFF" w:val="clear"/>
        </w:rPr>
        <w:t xml:space="preserve">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Impact of Inflation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date, inflation has not had a material impact on our financial results. There can be no assurance, however, that inflation will not adversely affect our financial results in the future.</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Future Capital and Liquidity Needs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anticipate that our future capital and liquidity needs will principally consist of funds required for:</w:t>
      </w:r>
    </w:p>
    <w:p>
      <w:pPr>
        <w:pStyle w:val="TextBody"/>
        <w:bidi w:val="0"/>
        <w:spacing w:lineRule="auto" w:line="288" w:before="140" w:after="283"/>
        <w:ind w:left="0" w:right="0" w:hanging="360"/>
        <w:jc w:val="left"/>
        <w:rPr/>
      </w:pPr>
      <w:r>
        <w:rPr>
          <w:color w:val="000000"/>
        </w:rPr>
        <w:t>•</w:t>
      </w:r>
      <w:r>
        <w:rPr>
          <w:rFonts w:ascii="Times New Roman;serif" w:hAnsi="Times New Roman;serif"/>
          <w:b w:val="false"/>
          <w:color w:val="000000"/>
          <w:sz w:val="20"/>
        </w:rPr>
        <w:t>operating and general corporate expenses relating to the operation of our business, including the compensation of our employees under various annual bonus or long-term incentive compensation programs;</w:t>
      </w:r>
    </w:p>
    <w:p>
      <w:pPr>
        <w:pStyle w:val="TextBody"/>
        <w:bidi w:val="0"/>
        <w:spacing w:lineRule="auto" w:line="288" w:before="140" w:after="283"/>
        <w:ind w:left="0" w:right="0" w:hanging="360"/>
        <w:jc w:val="left"/>
        <w:rPr/>
      </w:pPr>
      <w:r>
        <w:rPr>
          <w:color w:val="000000"/>
        </w:rPr>
        <w:t>•</w:t>
      </w:r>
      <w:r>
        <w:rPr>
          <w:rFonts w:ascii="Times New Roman;serif" w:hAnsi="Times New Roman;serif"/>
          <w:b w:val="false"/>
          <w:color w:val="000000"/>
          <w:sz w:val="20"/>
        </w:rPr>
        <w:t>the hiring of individuals to replenish and expand our employee base;</w:t>
      </w:r>
    </w:p>
    <w:p>
      <w:pPr>
        <w:pStyle w:val="TextBody"/>
        <w:bidi w:val="0"/>
        <w:spacing w:lineRule="auto" w:line="288" w:before="140" w:after="283"/>
        <w:ind w:left="0" w:right="0" w:hanging="360"/>
        <w:jc w:val="left"/>
        <w:rPr/>
      </w:pPr>
      <w:r>
        <w:rPr>
          <w:color w:val="000000"/>
        </w:rPr>
        <w:t>•</w:t>
      </w:r>
      <w:r>
        <w:rPr>
          <w:rFonts w:ascii="Times New Roman;serif" w:hAnsi="Times New Roman;serif"/>
          <w:b w:val="false"/>
          <w:color w:val="000000"/>
          <w:sz w:val="20"/>
        </w:rPr>
        <w:t>capital expenditures, primarily for information technology equipment, office furniture and leasehold improvements;</w:t>
      </w:r>
    </w:p>
    <w:p>
      <w:pPr>
        <w:pStyle w:val="TextBody"/>
        <w:bidi w:val="0"/>
        <w:spacing w:lineRule="auto" w:line="288" w:before="140" w:after="283"/>
        <w:ind w:left="0" w:right="0" w:hanging="360"/>
        <w:jc w:val="left"/>
        <w:rPr/>
      </w:pPr>
      <w:r>
        <w:rPr>
          <w:color w:val="000000"/>
        </w:rPr>
        <w:t>•</w:t>
      </w:r>
      <w:r>
        <w:rPr>
          <w:rFonts w:ascii="Times New Roman;serif" w:hAnsi="Times New Roman;serif"/>
          <w:b w:val="false"/>
          <w:color w:val="000000"/>
          <w:sz w:val="20"/>
        </w:rPr>
        <w:t>debt service and repayments, including interest payments on borrowings from our revolving credit facility;</w:t>
      </w:r>
    </w:p>
    <w:p>
      <w:pPr>
        <w:pStyle w:val="TextBody"/>
        <w:bidi w:val="0"/>
        <w:spacing w:lineRule="auto" w:line="288" w:before="140" w:after="283"/>
        <w:ind w:left="0" w:right="0" w:hanging="360"/>
        <w:jc w:val="left"/>
        <w:rPr/>
      </w:pPr>
      <w:r>
        <w:rPr>
          <w:color w:val="000000"/>
        </w:rPr>
        <w:t>•</w:t>
      </w:r>
      <w:r>
        <w:rPr>
          <w:rFonts w:ascii="Times New Roman;serif" w:hAnsi="Times New Roman;serif"/>
          <w:b w:val="false"/>
          <w:color w:val="000000"/>
          <w:sz w:val="20"/>
        </w:rPr>
        <w:t>share repurchases under programs that we may have in effect from time to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40" w:after="283"/>
        <w:ind w:left="0" w:right="0" w:hanging="360"/>
        <w:jc w:val="left"/>
        <w:rPr/>
      </w:pPr>
      <w:r>
        <w:rPr>
          <w:color w:val="000000"/>
        </w:rPr>
        <w:t>•</w:t>
      </w:r>
      <w:r>
        <w:rPr>
          <w:rFonts w:ascii="Times New Roman;serif" w:hAnsi="Times New Roman;serif"/>
          <w:b w:val="false"/>
          <w:color w:val="000000"/>
          <w:sz w:val="20"/>
        </w:rPr>
        <w:t>dividends to shareholders;</w:t>
      </w:r>
    </w:p>
    <w:p>
      <w:pPr>
        <w:pStyle w:val="TextBody"/>
        <w:bidi w:val="0"/>
        <w:spacing w:lineRule="auto" w:line="288" w:before="140" w:after="283"/>
        <w:ind w:left="0" w:right="0" w:hanging="360"/>
        <w:jc w:val="left"/>
        <w:rPr/>
      </w:pPr>
      <w:r>
        <w:rPr>
          <w:color w:val="000000"/>
        </w:rPr>
        <w:t>•</w:t>
      </w:r>
      <w:r>
        <w:rPr>
          <w:rFonts w:ascii="Times New Roman;serif" w:hAnsi="Times New Roman;serif"/>
          <w:b w:val="false"/>
          <w:color w:val="000000"/>
          <w:sz w:val="20"/>
        </w:rPr>
        <w:t>potential acquisitions of businesses that would allow us to diversify or expand our service offerings;</w:t>
      </w:r>
    </w:p>
    <w:p>
      <w:pPr>
        <w:pStyle w:val="TextBody"/>
        <w:bidi w:val="0"/>
        <w:spacing w:lineRule="auto" w:line="288" w:before="140" w:after="283"/>
        <w:ind w:left="0" w:right="0" w:hanging="360"/>
        <w:jc w:val="left"/>
        <w:rPr/>
      </w:pPr>
      <w:r>
        <w:rPr>
          <w:color w:val="000000"/>
        </w:rPr>
        <w:t>•</w:t>
      </w:r>
      <w:r>
        <w:rPr>
          <w:rFonts w:ascii="Times New Roman;serif" w:hAnsi="Times New Roman;serif"/>
          <w:b w:val="false"/>
          <w:color w:val="000000"/>
          <w:sz w:val="20"/>
        </w:rPr>
        <w:t>contingent obligations related to our acquisitions; and</w:t>
      </w:r>
    </w:p>
    <w:p>
      <w:pPr>
        <w:pStyle w:val="TextBody"/>
        <w:bidi w:val="0"/>
        <w:spacing w:lineRule="auto" w:line="288" w:before="140" w:after="283"/>
        <w:ind w:left="0" w:right="0" w:hanging="360"/>
        <w:jc w:val="left"/>
        <w:rPr/>
      </w:pPr>
      <w:r>
        <w:rPr>
          <w:color w:val="000000"/>
        </w:rPr>
        <w:t>•</w:t>
      </w:r>
      <w:r>
        <w:rPr>
          <w:rFonts w:ascii="Times New Roman;serif" w:hAnsi="Times New Roman;serif"/>
          <w:b w:val="false"/>
          <w:color w:val="000000"/>
          <w:sz w:val="20"/>
        </w:rPr>
        <w:t>other known future contractual obligations.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hiring of individuals to replenish and expand our employee base is an essential part of our business operations and has historically been funded principally from operations. Many of the other above activities are discretionary in nature. For example, capital expenditures can be deferred, acquisitions can be forgone, and share repurchases and regular dividends can be suspended. As such, our operating model provides flexibility with respect to the deployment of cash flow from operations. Given this flexibility, we believe that our cash flows from operations, supplemented by cash on hand and borrowings under our revolving credit facility (as necessary), will provide adequate cash to fund our long-term cash needs from normal operations for at least the next twelve months.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conclusion that we will be able to fund our cash requirements by using existing capital resources and cash generated from operations does not take into account the impact of any future acquisition transactions or any unexpected significant changes in the number of employees or other expenditures that are currently not contemplated. The anticipated cash needs of our business could change significantly if we pursue and complete additional business acquisitions, if our business plans change, if economic conditions change from those currently prevailing or from those now anticipated, or if other unexpected circumstances arise that have a material effect on the cash flow or profitability of our business. Any of these events or circumstances, including any new business opportunities, could involve significant additional funding needs in excess of the identified currently available sources and could require us to raise additional debt or equity funding to meet those needs on terms that may be less favorable compared to our current sources of capital. Our ability to raise additional capital, if necessary, is subject to a variety of factors that we cannot predict with certainty, including:</w:t>
      </w:r>
    </w:p>
    <w:p>
      <w:pPr>
        <w:pStyle w:val="TextBody"/>
        <w:bidi w:val="0"/>
        <w:spacing w:lineRule="auto" w:line="288" w:before="140" w:after="283"/>
        <w:ind w:left="0" w:right="0" w:hanging="360"/>
        <w:jc w:val="left"/>
        <w:rPr/>
      </w:pPr>
      <w:r>
        <w:rPr>
          <w:color w:val="000000"/>
        </w:rPr>
        <w:t>•</w:t>
      </w:r>
      <w:r>
        <w:rPr>
          <w:rFonts w:ascii="Times New Roman;serif" w:hAnsi="Times New Roman;serif"/>
          <w:b w:val="false"/>
          <w:color w:val="000000"/>
          <w:sz w:val="20"/>
        </w:rPr>
        <w:t>our future profitability;</w:t>
      </w:r>
    </w:p>
    <w:p>
      <w:pPr>
        <w:pStyle w:val="TextBody"/>
        <w:bidi w:val="0"/>
        <w:spacing w:lineRule="auto" w:line="288" w:before="140" w:after="283"/>
        <w:ind w:left="0" w:right="0" w:hanging="360"/>
        <w:jc w:val="left"/>
        <w:rPr/>
      </w:pPr>
      <w:r>
        <w:rPr>
          <w:color w:val="000000"/>
        </w:rPr>
        <w:t>•</w:t>
      </w:r>
      <w:r>
        <w:rPr>
          <w:rFonts w:ascii="Times New Roman;serif" w:hAnsi="Times New Roman;serif"/>
          <w:b w:val="false"/>
          <w:color w:val="000000"/>
          <w:sz w:val="20"/>
        </w:rPr>
        <w:t>the quality of our accounts receivable;</w:t>
      </w:r>
    </w:p>
    <w:p>
      <w:pPr>
        <w:pStyle w:val="TextBody"/>
        <w:bidi w:val="0"/>
        <w:spacing w:lineRule="auto" w:line="288" w:before="140" w:after="283"/>
        <w:ind w:left="0" w:right="0" w:hanging="360"/>
        <w:jc w:val="left"/>
        <w:rPr/>
      </w:pPr>
      <w:r>
        <w:rPr>
          <w:color w:val="000000"/>
        </w:rPr>
        <w:t>•</w:t>
      </w:r>
      <w:r>
        <w:rPr>
          <w:rFonts w:ascii="Times New Roman;serif" w:hAnsi="Times New Roman;serif"/>
          <w:b w:val="false"/>
          <w:color w:val="000000"/>
          <w:sz w:val="20"/>
        </w:rPr>
        <w:t>our relative levels of debt and equity;</w:t>
      </w:r>
    </w:p>
    <w:p>
      <w:pPr>
        <w:pStyle w:val="TextBody"/>
        <w:bidi w:val="0"/>
        <w:spacing w:lineRule="auto" w:line="288" w:before="140" w:after="283"/>
        <w:ind w:left="0" w:right="0" w:hanging="360"/>
        <w:jc w:val="left"/>
        <w:rPr/>
      </w:pPr>
      <w:r>
        <w:rPr>
          <w:color w:val="000000"/>
        </w:rPr>
        <w:t>•</w:t>
      </w:r>
      <w:r>
        <w:rPr>
          <w:rFonts w:ascii="Times New Roman;serif" w:hAnsi="Times New Roman;serif"/>
          <w:b w:val="false"/>
          <w:color w:val="000000"/>
          <w:sz w:val="20"/>
        </w:rPr>
        <w:t>the volatility and overall condition of the capital markets; and</w:t>
      </w:r>
    </w:p>
    <w:p>
      <w:pPr>
        <w:pStyle w:val="TextBody"/>
        <w:bidi w:val="0"/>
        <w:spacing w:lineRule="auto" w:line="288" w:before="140" w:after="283"/>
        <w:ind w:left="0" w:right="0" w:hanging="360"/>
        <w:jc w:val="left"/>
        <w:rPr/>
      </w:pPr>
      <w:r>
        <w:rPr>
          <w:color w:val="000000"/>
        </w:rPr>
        <w:t>•</w:t>
      </w:r>
      <w:r>
        <w:rPr>
          <w:rFonts w:ascii="Times New Roman;serif" w:hAnsi="Times New Roman;serif"/>
          <w:b w:val="false"/>
          <w:color w:val="000000"/>
          <w:sz w:val="20"/>
        </w:rPr>
        <w:t>the market prices of our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Factors Affecting Future Performance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Important factors that could cause our actual results to differ materially from the forward-looking statements we make in this report, as well as a description of material risks we face, are set forth below under the heading “Risk Factors” and included in Part I, Item 1A, “Risk Factors” of our Annual Report on Form 10-K for the fiscal year ended January 3, 2026. If any of these risks, or any risks not presently known to us or that we currently believe are not significant, develops into an actual event, then our business, financial condition, and results of operations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exposure to market risk during the fiscal quarter ended July 4, 2026. For information regarding our exposure to certain market risks, see Part II, Item 7A, "Quantitative and Qualitative Disclosures about Market Risk” of our Annual Report on Form 10-K for the fiscal year ended January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President and Chief Executive Officer and our Chief Financial Officer, we evaluated the effectiveness of our disclosure controls and procedures as of the end of the period covered by this report. This is done in order to ensure that information we are required to disclose in the reports that are filed or submitted under the Securities Exchange Act of 1934, as amended, is recorded, processed, summarized and reported within the time periods specified in the SEC’s rules and forms. Based upon that evaluation, our President and Chief Executive Officer and our Chief Financial Officer concluded that our disclosure controls and procedures were effective as of July 4,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Management has concluded that the condensed consolidated financial statements included in this Quarterly Report on Form 10-Q present fairly, in all material aspects, our financial position at the end of, and the results of operations and cash flows for, the periods presented in conformity with U.S. GAAP.</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Evaluation of Changes in Internal Control over Financial Reporting</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President and Chief Executive Officer and our Chief Financial Officer, we evaluated whether there were any changes in our internal control over financial reporting during the second quarter of fiscal 2026. There were no changes in our internal control over financial reporting identified in connection with the above evaluation that occurred during the second quarter of fiscal 2026 that have materially affected or are reasonably likely to materially affect our internal control over financial reporting.</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Important Considerations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effectiveness of our disclosure controls and procedures and our internal control over financial reporting is subject to various inherent limitations, including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are many risks and uncertainties that can affect our future business, financial performance or results of operations. In addition to the other information set forth in this report, please review and consider the information regarding certain factors that could materially affect our business, financial condition or future results set forth under Part I, Item 1A, “Risk Factors” in our Annual Report on Form 10-K for the fiscal year ended January 3, 2026. There have been no material changes to these risk factors during the fiscal quarter ended July 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(a)</w:t>
      </w:r>
      <w:r>
        <w:rPr>
          <w:rFonts w:ascii="Times New Roman;serif" w:hAnsi="Times New Roman;serif"/>
          <w:b w:val="false"/>
          <w:color w:val="000000"/>
          <w:sz w:val="20"/>
        </w:rPr>
        <w:t>Not applicable.</w:t>
      </w:r>
    </w:p>
    <w:p>
      <w:pPr>
        <w:pStyle w:val="TextBody"/>
        <w:bidi w:val="0"/>
        <w:spacing w:lineRule="auto" w:line="288" w:before="240" w:after="283"/>
        <w:ind w:left="0" w:right="0" w:firstLine="720"/>
        <w:jc w:val="left"/>
        <w:rPr/>
      </w:pPr>
      <w:r>
        <w:rPr>
          <w:rFonts w:ascii="Times New Roman;serif" w:hAnsi="Times New Roman;serif"/>
          <w:b w:val="false"/>
          <w:color w:val="000000"/>
          <w:sz w:val="20"/>
        </w:rPr>
        <w:t>(b)</w:t>
      </w:r>
      <w:r>
        <w:rPr>
          <w:rFonts w:ascii="Times New Roman;serif" w:hAnsi="Times New Roman;serif"/>
          <w:b w:val="false"/>
          <w:color w:val="000000"/>
          <w:sz w:val="20"/>
        </w:rPr>
        <w:t>Not applicable.</w:t>
      </w:r>
    </w:p>
    <w:p>
      <w:pPr>
        <w:pStyle w:val="TextBody"/>
        <w:bidi w:val="0"/>
        <w:spacing w:lineRule="auto" w:line="288" w:before="240" w:after="283"/>
        <w:ind w:left="0" w:right="0" w:firstLine="720"/>
        <w:jc w:val="left"/>
        <w:rPr/>
      </w:pPr>
      <w:r>
        <w:rPr>
          <w:rFonts w:ascii="Times New Roman;serif" w:hAnsi="Times New Roman;serif"/>
          <w:b w:val="false"/>
          <w:color w:val="000000"/>
          <w:sz w:val="20"/>
        </w:rPr>
        <w:t>(c)</w:t>
      </w:r>
      <w:r>
        <w:rPr>
          <w:rFonts w:ascii="Times New Roman;serif" w:hAnsi="Times New Roman;serif"/>
          <w:b w:val="false"/>
          <w:color w:val="000000"/>
          <w:sz w:val="20"/>
        </w:rPr>
        <w:t>The following provides information about our repurchases of shares of our common stock during the fiscal quarter ended July 4, 2026. During that period, we did not act in concert with any affiliate or any other person to acquire any of our common stock and, accordingly, we do not believe that purchases by any such affiliate or other person (if any) are reportable in the following table. For purposes of this table, we have divided the fiscal quarter into three periods of four weeks, four weeks, and five weeks, respectively, to coincide with our reporting periods during the second quarter of fiscal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907"/>
        <w:gridCol w:w="798"/>
        <w:gridCol w:w="806"/>
        <w:gridCol w:w="109"/>
        <w:gridCol w:w="109"/>
        <w:gridCol w:w="109"/>
        <w:gridCol w:w="439"/>
        <w:gridCol w:w="438"/>
        <w:gridCol w:w="438"/>
        <w:gridCol w:w="109"/>
        <w:gridCol w:w="109"/>
        <w:gridCol w:w="109"/>
        <w:gridCol w:w="322"/>
        <w:gridCol w:w="1104"/>
        <w:gridCol w:w="166"/>
        <w:gridCol w:w="109"/>
        <w:gridCol w:w="109"/>
        <w:gridCol w:w="109"/>
        <w:gridCol w:w="612"/>
        <w:gridCol w:w="608"/>
        <w:gridCol w:w="610"/>
        <w:gridCol w:w="109"/>
        <w:gridCol w:w="109"/>
        <w:gridCol w:w="109"/>
        <w:gridCol w:w="239"/>
        <w:gridCol w:w="1231"/>
        <w:gridCol w:w="179"/>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w:t>
              <w:br/>
              <w:t>Total Number of</w:t>
              <w:br/>
              <w:t>Shares</w:t>
              <w:br/>
              <w:t>Purchased(1)(2)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w:t>
              <w:br/>
              <w:t>Average Price</w:t>
              <w:br/>
              <w:t>Paid per Share(1)(2)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w:t>
              <w:br/>
              <w:t>Total Number of Shares</w:t>
              <w:br/>
              <w:t>Purchased as Part of</w:t>
              <w:br/>
              <w:t>Publicly Announced</w:t>
              <w:br/>
              <w:t>Plans or Programs(2)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w:t>
              <w:br/>
              <w:t>Approximate</w:t>
              <w:br/>
              <w:t>Dollar Value of</w:t>
              <w:br/>
              <w:t>Shares that May Yet</w:t>
              <w:br/>
              <w:t>Be Purchased</w:t>
              <w:br/>
              <w:t>Under the Plans</w:t>
              <w:br/>
              <w:t>or Programs(2)</w:t>
            </w:r>
          </w:p>
        </w:tc>
      </w:tr>
      <w:tr>
        <w:trPr/>
        <w:tc>
          <w:tcPr>
            <w:tcW w:w="2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5, 2026 to May 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3,610 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44,475,857 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3, 2026 to May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193,641 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192,945 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16,635,773 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31, 2026 to July 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16,635,773 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197,251 </w:t>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192,945 </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(1)During the four weeks ended May 2, 2026, we accepted 3,610 shares of our common stock as a tax withholding from certain of our employees in connection with the vesting of shares of restricted stock units that occurred during the indicated period, pursuant to the terms of our 2006 Equity Plan, as amended, at the average price per share of $161.50. During the four weeks ended May 30, 2026, we accepted 696 shares of our common stock as a tax withholding from certain of our employees in connection with the vesting of shares of restricted stock units that occurred during the indicated period, pursuant to the terms of our 2006 Equity Plan, as amended, at the average price per share of $148.01.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(2)On February 26, 2026, we announced that our Board of Directors authorized an expansion to our existing share repurchase program by an additional $55.0 million of our common stock, in addition to the $10.9 million then remaining under the program. The program has no expiration date. We may repurchase shares under this program in open market purchases (including through any Rule 10b5-1 plan adopted by us) or in privately negotiated transactions in accordance with applicable insider trading and other securities laws and regulations.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Amended and Restated Credit Agreement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July 31, 2026, CRA and its subsidiaries CRA International (UK) Limited (the “UK Borrower”) and CRA International Limited (the “Canadian Borrower” and, together with the UK Borrower, the “Designated Borrowers”; the Designated Borrowers, together with the Company, the “Borrowers”), entered into an Amended and Restated Credit Agreement (the “Credit Agreement”) among the Borrowers, Bank of America, N.A., as swingline lender, a letter of credit issuing bank and administrative agent, and the other letter of credit issuing banks and lenders party thereto. The Credit Agreement amends and restates the Company’s Credit Agreement, dated as of August 19, 2022 (as previously amended from time to time, the “Existing Credit Agreement”).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Credit Agreement provides for aggregate credit facilities of up to $400 million, consisting of (i) a $325 million revolving credit facility, which may be decreased at the Company’s option to $250 million during the period from July 16 in a year through January 15 in the next year, and (ii) a $75 million term loan facility (collectively, the “Credit Facilities”). Additionally, for the period of January 16 through July 15 of each year, CRA may elect not to increase the revolving credit facility from $250 million to $325 million. The revolving credit facility includes a $70 million sublimit for borrowings by the Designated Borrowers, a $150 million sublimit for borrowings in Euros, Pounds Sterling, Canadian Dollars, Swiss Francs and any other currency (other than U.S. Dollars) that is approved pursuant to the Credit Agreement (the “Alternative Currencies”), a $50 million sublimit for the issuance of letters of credit, and a $30 million sublimit for swingline loans by the swingline lender.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closing, the Company borrowed $75 million under the term loan facility and $213 million was drawn under the revolving credit facility. Also, letters of credit in the aggregate amount of approximately $3.75million that had been issued under the Existing Credit Agreement were deemed to be issued and outstanding under the new revolving credit facility.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proceeds of the Credit Facilities were used to refinance indebtedness outstanding under the Existing Credit Agreement and proceeds of the revolving credit loans will be available for general corporate purposes, subject to our compliance with the terms of the Credit Agreement.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revolving facility and the term loan facility mature on July 31, 2031. The term loan facility amortizes in quarterly installments equal to 2.5% per annum of the original principal amount thereof, with the remaining outstanding principal balance due at maturity. Borrowings under the Credit Facilities may be voluntarily prepaid from time to time without any premium or penalty (other than customary “breakage” costs) pursuant to the terms of the Credit Agreement.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borrowings under the Credit Facilities bear interest at a rate per annum equal to one of the following rates, as selected by the relevant Borrower, in each case plus an applicable margin as described below: (i) in the case of borrowings in U.S. dollars by the Company, the Base Rate (as defined in the Credit Agreement), (ii) in the case of borrowings in U.S. dollars, a rate based on Term SOFR (as defined in the Credit Agreement) for the applicable interest period or Daily SOFR (as defined in the Credit Agreement), as applicable, (iii) in the case of borrowings in Euros, EURIBOR (as defined in the Credit Agreement) for the applicable interest period, (iv) in the case of borrowings in Pounds Sterling, a daily rate based on SONIA (as defined in the Credit Agreement), (v) in the case of borrowings in Canadian Dollars, a rate based on Term CORRA (as defined in the Credit Agreement) for the applicable interest period, (vi) in the case of borrowings in Swiss Francs, a daily rate based on SARON (as defined in the Credit Agreement), or (vii) in the case of borrowings in any other Alternative Currency, the relevant daily or term rate determined as provided in the Credit Agreement. The applicable margin on borrowings based on the Base Rate varies within a range of 0.25% to 1.00% depending on our consolidated net leverage ratio (as used herein as determined under the Credit Agreement), and the applicable margin on borrowings based on any of the other rates described above varies within a range of 1.25% to 2.00% depending on our consolidated net leverage ratio. We are required to pay a fee on the amount available to be drawn under any letter of credit issued under the revolving credit facility at a rate per annum that varies between 1.25% and 2.00% depending on our consolidated net leverage ratio. We are required to pay a fee on the unused portion of the revolving credit facility at a rate per annum that varies between 0.175% and 0.250% depending on our consolidated net leverage ratio.</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Subject to certain terms and conditions set forth in the Credit Agreement, including our pro forma compliance with the financial covenants specified therein, we may request from time to time that the lenders under the Credit Agreement and/or other financial institutions that would become lenders thereunder provide increases to the revolving credit commitments and/or additional term loan commitments thereunder, provided that the aggregate principal amount of all such increase and additional commitments does not exceed the greater of $150 million and 100% of our consolidated EBITDA for the applicable trailing four-fiscal-quarter period (as determined under the Credit Agreement). No existing lender under the Credit Agreement is obligated to provide any such increase or additional commitment.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must comply with various customary financial and non-financial covenants under the Credit Agreement. The primary financial covenants under the Credit Agreement consist of a maximum consolidated net leverage ratio and a minimum consolidated interest coverage ratio. The primary non-financial covenants under the Credit Agreement limit, subject to various exceptions, our ability to incur future indebtedness, to place liens on assets, to pay dividends or other distributions on our capital stock, to repurchase our capital stock, to conduct acquisitions, to make investments and loans, to alter our capital structure and to dispose of assets.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lenders under the Credit Agreement are entitled to accelerate repayment of the loans under the Credit Agreement upon the occurrence of any of various customary events of default, which include, among other events, failure to pay when due any principal, interest, fees or other amounts in respect of the loans (subject to a grace period for non-principal amounts), breach of any of our covenants (subject, in some cases, to certain grace periods) or representations under the loan documents, default under any of our or our subsidiaries’ indebtedness agreements above a threshold principal amount, a bankruptcy or insolvency event with respect to our or our material subsidiaries, an unsatisfied judgment against us or any of our material subsidiaries above a threshold amount, or our undergoing a change of control (as defined in the Credit Agreement).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obligations of the Designated Borrowers under the Credit Facilities are guaranteed by the Company. Each material U.S. subsidiary that becomes a party to the Credit Agreement pursuant to its terms will be required to guarantee obligations under the Credit Agreement. The obligations under the Credit Agreement are unsecured.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forgoing description of the Credit Agreement is qualified in its entirety by reference to the full text of such agreement, a copy of which is filed as Exhibit 10.1 to this Quarterly Report on Form 10-Q.</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Securities Trading Plans of Directors and Executive Officers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fiscal quarter ended July 4, 2026, no director or officer of the Company adopted or terminated a “Rule 10b5-1 trading arrangement” or a “non-Rule 10b5-1 trading arrangement” (in each case, as defined in Item 408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00"/>
        <w:gridCol w:w="151"/>
        <w:gridCol w:w="154"/>
        <w:gridCol w:w="109"/>
        <w:gridCol w:w="109"/>
        <w:gridCol w:w="109"/>
        <w:gridCol w:w="216"/>
        <w:gridCol w:w="216"/>
        <w:gridCol w:w="217"/>
        <w:gridCol w:w="109"/>
        <w:gridCol w:w="109"/>
        <w:gridCol w:w="109"/>
        <w:gridCol w:w="2555"/>
        <w:gridCol w:w="2405"/>
        <w:gridCol w:w="3437"/>
      </w:tblGrid>
      <w:tr>
        <w:trPr/>
        <w:tc>
          <w:tcPr>
            <w:tcW w:w="2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3437" w:type="dxa"/>
            <w:tcBorders/>
            <w:vAlign w:val="center"/>
          </w:tcPr>
          <w:p>
            <w:pPr>
              <w:pStyle w:val="TableContents"/>
              <w:bidi w:val="0"/>
              <w:spacing w:before="0" w:after="283"/>
              <w:jc w:val="left"/>
              <w:rPr>
                <w:sz w:val="4"/>
                <w:szCs w:val="4"/>
              </w:rPr>
            </w:pPr>
            <w:r>
              <w:rPr>
                <w:sz w:val="4"/>
                <w:szCs w:val="4"/>
              </w:rPr>
            </w:r>
          </w:p>
        </w:tc>
      </w:tr>
      <w:tr>
        <w:trPr/>
        <w:tc>
          <w:tcPr>
            <w:tcW w:w="5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Item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Filed with this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Amended and Restated Articles of Organization, as amended by the Articles of Amendment to our Articles of Organization filed on May 6, 2005 (incorporated by reference to Exhibit 3.1 to our annual report on Form 10-K filed on February 27, 2020).</w:t>
              </w:r>
            </w:hyperlink>
          </w:p>
        </w:tc>
      </w:tr>
      <w:tr>
        <w:trPr/>
        <w:tc>
          <w:tcPr>
            <w:tcW w:w="5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Amended and Restated By-Laws, as amended (incorporated by reference to Exhibit 3.2 to our current report on Form 8-K filed on January 31, 2011).</w:t>
              </w:r>
            </w:hyperlink>
          </w:p>
        </w:tc>
      </w:tr>
      <w:tr>
        <w:trPr/>
        <w:tc>
          <w:tcPr>
            <w:tcW w:w="5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oa-crainternationalxarcre.htm">
              <w:r>
                <w:rPr>
                  <w:rStyle w:val="InternetLink"/>
                  <w:rFonts w:ascii="Times New Roman;serif" w:hAnsi="Times New Roman;serif"/>
                  <w:b w:val="false"/>
                  <w:color w:val="0000FF"/>
                  <w:sz w:val="20"/>
                  <w:u w:val="single"/>
                </w:rPr>
                <w:t>Amended and Restated Credit Agreement, dated as of July 31, 2026, by and among CRA International, Inc., CRA International (UK) Limited, and CRA International Limited, as the Borrowers, Bank of America, N.A., as Administrative Agent, Swingline Lender and L/C Issuer, the other L/C Issuers party thereto and the other Lenders party thereto.</w:t>
              </w:r>
            </w:hyperlink>
          </w:p>
        </w:tc>
      </w:tr>
      <w:tr>
        <w:trPr/>
        <w:tc>
          <w:tcPr>
            <w:tcW w:w="5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raiq2-202610xqexx311.htm">
              <w:r>
                <w:rPr>
                  <w:rStyle w:val="InternetLink"/>
                  <w:rFonts w:ascii="Times New Roman;serif" w:hAnsi="Times New Roman;serif"/>
                  <w:b w:val="false"/>
                  <w:color w:val="0000FF"/>
                  <w:sz w:val="20"/>
                  <w:u w:val="single"/>
                </w:rPr>
                <w:t>Certification of Principal Executive Officer, pursuant to Rule 13a-14(a)/15d-14(a), as adopted pursuant to Section 302 of the Sarbanes-Oxley Act of 2002</w:t>
              </w:r>
            </w:hyperlink>
            <w:r>
              <w:rPr>
                <w:rFonts w:ascii="Times New Roman;serif" w:hAnsi="Times New Roman;serif"/>
                <w:b w:val="false"/>
                <w:color w:val="000000"/>
                <w:sz w:val="20"/>
              </w:rPr>
              <w:t>.</w:t>
            </w:r>
          </w:p>
        </w:tc>
      </w:tr>
      <w:tr>
        <w:trPr/>
        <w:tc>
          <w:tcPr>
            <w:tcW w:w="5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raiq2-202610xqexx312.htm">
              <w:r>
                <w:rPr>
                  <w:rStyle w:val="InternetLink"/>
                  <w:rFonts w:ascii="Times New Roman;serif" w:hAnsi="Times New Roman;serif"/>
                  <w:b w:val="false"/>
                  <w:color w:val="0000FF"/>
                  <w:sz w:val="20"/>
                  <w:u w:val="single"/>
                </w:rPr>
                <w:t>Certification of Principal Financial Officer, pursuant to Rule 13a-14(a)/15d-14(a), as adopted pursuant to Section 302 of the Sarbanes-Oxley Act of 2002</w:t>
              </w:r>
            </w:hyperlink>
            <w:r>
              <w:rPr>
                <w:rFonts w:ascii="Times New Roman;serif" w:hAnsi="Times New Roman;serif"/>
                <w:b w:val="false"/>
                <w:color w:val="000000"/>
                <w:sz w:val="20"/>
              </w:rPr>
              <w:t>.</w:t>
            </w:r>
          </w:p>
        </w:tc>
      </w:tr>
      <w:tr>
        <w:trPr/>
        <w:tc>
          <w:tcPr>
            <w:tcW w:w="5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raiq2-202610xqex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r>
              <w:rPr>
                <w:rFonts w:ascii="Times New Roman;serif" w:hAnsi="Times New Roman;serif"/>
                <w:b w:val="false"/>
                <w:color w:val="000000"/>
                <w:sz w:val="20"/>
              </w:rPr>
              <w:t>.</w:t>
            </w:r>
          </w:p>
        </w:tc>
      </w:tr>
      <w:tr>
        <w:trPr/>
        <w:tc>
          <w:tcPr>
            <w:tcW w:w="5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raiq2-202610xqex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r>
              <w:rPr>
                <w:rFonts w:ascii="Times New Roman;serif" w:hAnsi="Times New Roman;serif"/>
                <w:b w:val="false"/>
                <w:color w:val="000000"/>
                <w:sz w:val="20"/>
              </w:rPr>
              <w:t>.</w:t>
            </w:r>
          </w:p>
        </w:tc>
      </w:tr>
      <w:tr>
        <w:trPr/>
        <w:tc>
          <w:tcPr>
            <w:tcW w:w="5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CRA International, Inc.’s Quarterly Report on Form 10-Q for the fiscal quarter ended July 4, 2026, formatted in Inline XBRL (eXtensible Business Reporting Language), as follows: (i) Condensed Consolidated Statements of Operations (unaudited) for the fiscal quarters ended July 4, 2026 and June 28, 2025, (ii) Condensed Consolidated Statements of Comprehensive Income (unaudited) for the fiscal quarters ended July 4, 2026 and June 28, 2025, (iii) Condensed Consolidated Balance Sheets (unaudited) at July 4, 2026 and January 3, 2026, (iv) Condensed Consolidated Statements of Cash Flows (unaudited) for the fiscal quarters ended July 4, 2026 and June 28, 2025, (v) Condensed Consolidated Statement of Shareholders’ Equity (unaudited) for the fiscal quarter ended July 4, 2026 and June 28, 2025, and (vi) Notes to Condensed Consolidated Financial Statements (unaudited).</w:t>
            </w:r>
          </w:p>
        </w:tc>
      </w:tr>
      <w:tr>
        <w:trPr/>
        <w:tc>
          <w:tcPr>
            <w:tcW w:w="5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6e927d478134c2185ffcb07ad0c4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634"/>
        <w:gridCol w:w="558"/>
        <w:gridCol w:w="561"/>
        <w:gridCol w:w="400"/>
        <w:gridCol w:w="400"/>
        <w:gridCol w:w="400"/>
        <w:gridCol w:w="2121"/>
        <w:gridCol w:w="2105"/>
        <w:gridCol w:w="3026"/>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CRA INTERNATIONAL, INC.</w:t>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PAUL A. MALEH</w:t>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Paul A. Maleh</w:t>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President, Chief Executive Officer, and Chairman of the Board (principal executive officer)</w:t>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ERIC NIERENBERG</w:t>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Eric Nierenberg</w:t>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Chief Financial Officer and Treasurer (principal financial officer)</w:t>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SANDRA A. DAVID</w:t>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Sandra A. David</w:t>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Vice President and Chief Accounting Officer (principal accounting officer)</w:t>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Execution Version</w:t>
      </w:r>
    </w:p>
    <w:tbl>
      <w:tblPr>
        <w:tblW w:w="5654" w:type="dxa"/>
        <w:jc w:val="left"/>
        <w:tblInd w:w="0" w:type="dxa"/>
        <w:tblLayout w:type="fixed"/>
        <w:tblCellMar>
          <w:top w:w="28" w:type="dxa"/>
          <w:left w:w="28" w:type="dxa"/>
          <w:bottom w:w="28" w:type="dxa"/>
          <w:right w:w="28" w:type="dxa"/>
        </w:tblCellMar>
      </w:tblPr>
      <w:tblGrid>
        <w:gridCol w:w="1812"/>
        <w:gridCol w:w="1592"/>
        <w:gridCol w:w="2250"/>
      </w:tblGrid>
      <w:tr>
        <w:trPr/>
        <w:tc>
          <w:tcPr>
            <w:tcW w:w="1812"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Unpublished deal CUSIP:________</w:t>
              <w:br/>
              <w:t>Unpublished RCF CUSIP:________</w:t>
              <w:br/>
              <w:t>Unpublished TL CUSIP:________</w:t>
            </w:r>
          </w:p>
          <w:p>
            <w:pPr>
              <w:pStyle w:val="TableContents"/>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AMENDED AND RESTATED CREDIT AGREEMENT</w:t>
            </w:r>
          </w:p>
        </w:tc>
      </w:tr>
    </w:tbl>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Dated as of July 31, 2026</w:t>
      </w:r>
    </w:p>
    <w:p>
      <w:pPr>
        <w:pStyle w:val="TextBody"/>
        <w:bidi w:val="0"/>
        <w:spacing w:lineRule="auto" w:line="288" w:before="0" w:after="240"/>
        <w:jc w:val="left"/>
        <w:rPr>
          <w:color w:val="000000"/>
        </w:rPr>
      </w:pPr>
      <w:r>
        <w:rPr>
          <w:color w:val="000000"/>
        </w:rPr>
        <w:t>    </w:t>
      </w:r>
      <w:r>
        <w:rPr>
          <w:rFonts w:ascii="Times New Roman;serif" w:hAnsi="Times New Roman;serif"/>
          <w:b/>
          <w:color w:val="000000"/>
          <w:sz w:val="22"/>
        </w:rPr>
        <w:t>among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CRA INTERNATIONAL,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CRA INTERNATIONAL (UK) LIMITED, and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CRA INTERNATIONAL LIMITED,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the Borrowers,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BANK OF AMERICA, N.A.,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Administrative Agent, Swingline Lender and</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an L/C Issuer,</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The Other L/C Issuers Party Hereto,</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and</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THE LENDERS PARTY HERETO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BOFA SECURITIES, INC.,</w:t>
      </w:r>
    </w:p>
    <w:tbl>
      <w:tblPr>
        <w:tblW w:w="5864" w:type="dxa"/>
        <w:jc w:val="left"/>
        <w:tblInd w:w="0" w:type="dxa"/>
        <w:tblLayout w:type="fixed"/>
        <w:tblCellMar>
          <w:top w:w="28" w:type="dxa"/>
          <w:left w:w="28" w:type="dxa"/>
          <w:bottom w:w="28" w:type="dxa"/>
          <w:right w:w="28" w:type="dxa"/>
        </w:tblCellMar>
      </w:tblPr>
      <w:tblGrid>
        <w:gridCol w:w="1878"/>
        <w:gridCol w:w="1650"/>
        <w:gridCol w:w="2336"/>
      </w:tblGrid>
      <w:tr>
        <w:trPr/>
        <w:tc>
          <w:tcPr>
            <w:tcW w:w="1878"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bottom w:val="double" w:sz="1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Sole Bookrunner</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BOFA SECURITIES, INC. AND CITIZENS BANK, N.A.,</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Joint Lead Arrangers</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CITIZENS BANK, N.A.,</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Syndication Agent</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BANK OF MONTREAL AND M&amp;T BANK,</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Co-Documentation Agents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0520"/>
                <wp:effectExtent l="0" t="0" r="0" b="0"/>
                <wp:wrapNone/>
                <wp:docPr id="29" name="Frame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TABLE OF CONTENTS</w:t>
      </w:r>
    </w:p>
    <w:p>
      <w:pPr>
        <w:pStyle w:val="TextBody"/>
        <w:bidi w:val="0"/>
        <w:spacing w:lineRule="auto" w:line="288" w:before="0" w:after="240"/>
        <w:jc w:val="right"/>
        <w:rPr>
          <w:rFonts w:ascii="Times New Roman;serif" w:hAnsi="Times New Roman;serif"/>
          <w:b w:val="false"/>
          <w:i/>
          <w:color w:val="000000"/>
          <w:sz w:val="22"/>
          <w:u w:val="single"/>
        </w:rPr>
      </w:pPr>
      <w:r>
        <w:rPr>
          <w:rFonts w:ascii="Times New Roman;serif" w:hAnsi="Times New Roman;serif"/>
          <w:b w:val="false"/>
          <w:i/>
          <w:color w:val="000000"/>
          <w:sz w:val="22"/>
          <w:u w:val="single"/>
        </w:rPr>
        <w:t>Page</w:t>
      </w:r>
    </w:p>
    <w:p>
      <w:pPr>
        <w:pStyle w:val="TextBody"/>
        <w:bidi w:val="0"/>
        <w:spacing w:lineRule="auto" w:line="288" w:before="0" w:after="0"/>
        <w:ind w:left="0" w:right="0" w:hanging="720"/>
        <w:jc w:val="left"/>
        <w:rPr/>
      </w:pPr>
      <w:r>
        <w:rPr>
          <w:rFonts w:ascii="Times New Roman;serif" w:hAnsi="Times New Roman;serif"/>
          <w:b w:val="false"/>
          <w:color w:val="000000"/>
          <w:sz w:val="22"/>
        </w:rPr>
        <w:t>1.01</w:t>
      </w:r>
      <w:r>
        <w:rPr>
          <w:color w:val="000000"/>
        </w:rPr>
        <w:t>    </w:t>
      </w:r>
      <w:r>
        <w:rPr>
          <w:rFonts w:ascii="Times New Roman;serif" w:hAnsi="Times New Roman;serif"/>
          <w:b w:val="false"/>
          <w:color w:val="000000"/>
          <w:sz w:val="22"/>
        </w:rPr>
        <w:t>Defined Terms    </w:t>
      </w:r>
      <w:hyperlink w:anchor="i1af95870ab1e4d90b56c2d32f098e44a_48">
        <w:r>
          <w:rPr>
            <w:rStyle w:val="InternetLink"/>
            <w:rFonts w:ascii="Times New Roman;serif" w:hAnsi="Times New Roman;serif"/>
            <w:b w:val="false"/>
            <w:strike w:val="false"/>
            <w:dstrike w:val="false"/>
            <w:color w:val="000000"/>
            <w:sz w:val="22"/>
            <w:u w:val="none"/>
            <w:effect w:val="none"/>
          </w:rPr>
          <w:t>1</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1.02</w:t>
      </w:r>
      <w:r>
        <w:rPr>
          <w:color w:val="000000"/>
        </w:rPr>
        <w:t>    </w:t>
      </w:r>
      <w:r>
        <w:rPr>
          <w:rFonts w:ascii="Times New Roman;serif" w:hAnsi="Times New Roman;serif"/>
          <w:b w:val="false"/>
          <w:color w:val="000000"/>
          <w:sz w:val="22"/>
        </w:rPr>
        <w:t>Other Interpretive Provisions    </w:t>
      </w:r>
      <w:hyperlink w:anchor="i1af95870ab1e4d90b56c2d32f098e44a_48">
        <w:r>
          <w:rPr>
            <w:rStyle w:val="InternetLink"/>
            <w:rFonts w:ascii="Times New Roman;serif" w:hAnsi="Times New Roman;serif"/>
            <w:b w:val="false"/>
            <w:strike w:val="false"/>
            <w:dstrike w:val="false"/>
            <w:color w:val="000000"/>
            <w:sz w:val="22"/>
            <w:u w:val="none"/>
            <w:effect w:val="none"/>
          </w:rPr>
          <w:t>43</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1.03</w:t>
      </w:r>
      <w:r>
        <w:rPr>
          <w:color w:val="000000"/>
        </w:rPr>
        <w:t>    </w:t>
      </w:r>
      <w:r>
        <w:rPr>
          <w:rFonts w:ascii="Times New Roman;serif" w:hAnsi="Times New Roman;serif"/>
          <w:b w:val="false"/>
          <w:color w:val="000000"/>
          <w:sz w:val="22"/>
        </w:rPr>
        <w:t>Accounting Terms    </w:t>
      </w:r>
      <w:hyperlink w:anchor="i1af95870ab1e4d90b56c2d32f098e44a_48">
        <w:r>
          <w:rPr>
            <w:rStyle w:val="InternetLink"/>
            <w:rFonts w:ascii="Times New Roman;serif" w:hAnsi="Times New Roman;serif"/>
            <w:b w:val="false"/>
            <w:strike w:val="false"/>
            <w:dstrike w:val="false"/>
            <w:color w:val="000000"/>
            <w:sz w:val="22"/>
            <w:u w:val="none"/>
            <w:effect w:val="none"/>
          </w:rPr>
          <w:t>44</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1.04</w:t>
      </w:r>
      <w:r>
        <w:rPr>
          <w:color w:val="000000"/>
        </w:rPr>
        <w:t>    </w:t>
      </w:r>
      <w:r>
        <w:rPr>
          <w:rFonts w:ascii="Times New Roman;serif" w:hAnsi="Times New Roman;serif"/>
          <w:b w:val="false"/>
          <w:color w:val="000000"/>
          <w:sz w:val="22"/>
        </w:rPr>
        <w:t>Rounding    </w:t>
      </w:r>
      <w:hyperlink w:anchor="i1af95870ab1e4d90b56c2d32f098e44a_48">
        <w:r>
          <w:rPr>
            <w:rStyle w:val="InternetLink"/>
            <w:rFonts w:ascii="Times New Roman;serif" w:hAnsi="Times New Roman;serif"/>
            <w:b w:val="false"/>
            <w:strike w:val="false"/>
            <w:dstrike w:val="false"/>
            <w:color w:val="000000"/>
            <w:sz w:val="22"/>
            <w:u w:val="none"/>
            <w:effect w:val="none"/>
          </w:rPr>
          <w:t>45</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1.05</w:t>
      </w:r>
      <w:r>
        <w:rPr>
          <w:color w:val="000000"/>
        </w:rPr>
        <w:t>    </w:t>
      </w:r>
      <w:r>
        <w:rPr>
          <w:rFonts w:ascii="Times New Roman;serif" w:hAnsi="Times New Roman;serif"/>
          <w:b w:val="false"/>
          <w:color w:val="000000"/>
          <w:sz w:val="22"/>
        </w:rPr>
        <w:t>Times of Day    </w:t>
      </w:r>
      <w:hyperlink w:anchor="i1af95870ab1e4d90b56c2d32f098e44a_48">
        <w:r>
          <w:rPr>
            <w:rStyle w:val="InternetLink"/>
            <w:rFonts w:ascii="Times New Roman;serif" w:hAnsi="Times New Roman;serif"/>
            <w:b w:val="false"/>
            <w:strike w:val="false"/>
            <w:dstrike w:val="false"/>
            <w:color w:val="000000"/>
            <w:sz w:val="22"/>
            <w:u w:val="none"/>
            <w:effect w:val="none"/>
          </w:rPr>
          <w:t>45</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1.06</w:t>
      </w:r>
      <w:r>
        <w:rPr>
          <w:color w:val="000000"/>
        </w:rPr>
        <w:t>    </w:t>
      </w:r>
      <w:r>
        <w:rPr>
          <w:rFonts w:ascii="Times New Roman;serif" w:hAnsi="Times New Roman;serif"/>
          <w:b w:val="false"/>
          <w:color w:val="000000"/>
          <w:sz w:val="22"/>
        </w:rPr>
        <w:t>Letter of Credit Amounts    </w:t>
      </w:r>
      <w:hyperlink w:anchor="i1af95870ab1e4d90b56c2d32f098e44a_48">
        <w:r>
          <w:rPr>
            <w:rStyle w:val="InternetLink"/>
            <w:rFonts w:ascii="Times New Roman;serif" w:hAnsi="Times New Roman;serif"/>
            <w:b w:val="false"/>
            <w:strike w:val="false"/>
            <w:dstrike w:val="false"/>
            <w:color w:val="000000"/>
            <w:sz w:val="22"/>
            <w:u w:val="none"/>
            <w:effect w:val="none"/>
          </w:rPr>
          <w:t>46</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1.07</w:t>
      </w:r>
      <w:r>
        <w:rPr>
          <w:color w:val="000000"/>
        </w:rPr>
        <w:t>    </w:t>
      </w:r>
      <w:r>
        <w:rPr>
          <w:rFonts w:ascii="Times New Roman;serif" w:hAnsi="Times New Roman;serif"/>
          <w:b w:val="false"/>
          <w:color w:val="000000"/>
          <w:sz w:val="22"/>
        </w:rPr>
        <w:t>Limited Condition Transactions    </w:t>
      </w:r>
      <w:hyperlink w:anchor="i1af95870ab1e4d90b56c2d32f098e44a_48">
        <w:r>
          <w:rPr>
            <w:rStyle w:val="InternetLink"/>
            <w:rFonts w:ascii="Times New Roman;serif" w:hAnsi="Times New Roman;serif"/>
            <w:b w:val="false"/>
            <w:strike w:val="false"/>
            <w:dstrike w:val="false"/>
            <w:color w:val="000000"/>
            <w:sz w:val="22"/>
            <w:u w:val="none"/>
            <w:effect w:val="none"/>
          </w:rPr>
          <w:t>46</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1.08</w:t>
      </w:r>
      <w:r>
        <w:rPr>
          <w:color w:val="000000"/>
        </w:rPr>
        <w:t>    </w:t>
      </w:r>
      <w:r>
        <w:rPr>
          <w:rFonts w:ascii="Times New Roman;serif" w:hAnsi="Times New Roman;serif"/>
          <w:b w:val="false"/>
          <w:color w:val="000000"/>
          <w:sz w:val="22"/>
        </w:rPr>
        <w:t>Exchange Rates; Currency Equivalents    </w:t>
      </w:r>
      <w:hyperlink w:anchor="i1af95870ab1e4d90b56c2d32f098e44a_48">
        <w:r>
          <w:rPr>
            <w:rStyle w:val="InternetLink"/>
            <w:rFonts w:ascii="Times New Roman;serif" w:hAnsi="Times New Roman;serif"/>
            <w:b w:val="false"/>
            <w:strike w:val="false"/>
            <w:dstrike w:val="false"/>
            <w:color w:val="000000"/>
            <w:sz w:val="22"/>
            <w:u w:val="none"/>
            <w:effect w:val="none"/>
          </w:rPr>
          <w:t>47</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1.09</w:t>
      </w:r>
      <w:r>
        <w:rPr>
          <w:color w:val="000000"/>
        </w:rPr>
        <w:t>    </w:t>
      </w:r>
      <w:r>
        <w:rPr>
          <w:rFonts w:ascii="Times New Roman;serif" w:hAnsi="Times New Roman;serif"/>
          <w:b w:val="false"/>
          <w:color w:val="000000"/>
          <w:sz w:val="22"/>
        </w:rPr>
        <w:t>Additional Alternative Currencies    </w:t>
      </w:r>
      <w:hyperlink w:anchor="i1af95870ab1e4d90b56c2d32f098e44a_48">
        <w:r>
          <w:rPr>
            <w:rStyle w:val="InternetLink"/>
            <w:rFonts w:ascii="Times New Roman;serif" w:hAnsi="Times New Roman;serif"/>
            <w:b w:val="false"/>
            <w:strike w:val="false"/>
            <w:dstrike w:val="false"/>
            <w:color w:val="000000"/>
            <w:sz w:val="22"/>
            <w:u w:val="none"/>
            <w:effect w:val="none"/>
          </w:rPr>
          <w:t>48</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1.10</w:t>
      </w:r>
      <w:r>
        <w:rPr>
          <w:color w:val="000000"/>
        </w:rPr>
        <w:t>    </w:t>
      </w:r>
      <w:r>
        <w:rPr>
          <w:rFonts w:ascii="Times New Roman;serif" w:hAnsi="Times New Roman;serif"/>
          <w:b w:val="false"/>
          <w:color w:val="000000"/>
          <w:sz w:val="22"/>
        </w:rPr>
        <w:t>Change of Currency    </w:t>
      </w:r>
      <w:hyperlink w:anchor="i1af95870ab1e4d90b56c2d32f098e44a_48">
        <w:r>
          <w:rPr>
            <w:rStyle w:val="InternetLink"/>
            <w:rFonts w:ascii="Times New Roman;serif" w:hAnsi="Times New Roman;serif"/>
            <w:b w:val="false"/>
            <w:strike w:val="false"/>
            <w:dstrike w:val="false"/>
            <w:color w:val="000000"/>
            <w:sz w:val="22"/>
            <w:u w:val="none"/>
            <w:effect w:val="none"/>
          </w:rPr>
          <w:t>49</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1.11</w:t>
      </w:r>
      <w:r>
        <w:rPr>
          <w:color w:val="000000"/>
        </w:rPr>
        <w:t>    </w:t>
      </w:r>
      <w:r>
        <w:rPr>
          <w:rFonts w:ascii="Times New Roman;serif" w:hAnsi="Times New Roman;serif"/>
          <w:b w:val="false"/>
          <w:color w:val="000000"/>
          <w:sz w:val="22"/>
        </w:rPr>
        <w:t>Quebec Interpretation    </w:t>
      </w:r>
      <w:hyperlink w:anchor="i1af95870ab1e4d90b56c2d32f098e44a_48">
        <w:r>
          <w:rPr>
            <w:rStyle w:val="InternetLink"/>
            <w:rFonts w:ascii="Times New Roman;serif" w:hAnsi="Times New Roman;serif"/>
            <w:b w:val="false"/>
            <w:strike w:val="false"/>
            <w:dstrike w:val="false"/>
            <w:color w:val="000000"/>
            <w:sz w:val="22"/>
            <w:u w:val="none"/>
            <w:effect w:val="none"/>
          </w:rPr>
          <w:t>49</w:t>
        </w:r>
      </w:hyperlink>
    </w:p>
    <w:p>
      <w:pPr>
        <w:pStyle w:val="TextBody"/>
        <w:bidi w:val="0"/>
        <w:spacing w:lineRule="auto" w:line="288" w:before="120" w:after="120"/>
        <w:ind w:left="0" w:right="0" w:hanging="720"/>
        <w:jc w:val="left"/>
        <w:rPr/>
      </w:pPr>
      <w:r>
        <w:rPr>
          <w:rFonts w:ascii="Times New Roman;serif" w:hAnsi="Times New Roman;serif"/>
          <w:b w:val="false"/>
          <w:color w:val="000000"/>
          <w:sz w:val="22"/>
        </w:rPr>
        <w:t>ARTICLE II COMMITMENTS AND CREDIT EXTENSIONS    </w:t>
      </w:r>
      <w:hyperlink w:anchor="i1af95870ab1e4d90b56c2d32f098e44a_48">
        <w:r>
          <w:rPr>
            <w:rStyle w:val="InternetLink"/>
            <w:rFonts w:ascii="Times New Roman;serif" w:hAnsi="Times New Roman;serif"/>
            <w:b w:val="false"/>
            <w:strike w:val="false"/>
            <w:dstrike w:val="false"/>
            <w:color w:val="000000"/>
            <w:sz w:val="22"/>
            <w:u w:val="none"/>
            <w:effect w:val="none"/>
          </w:rPr>
          <w:t>50</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2.01</w:t>
      </w:r>
      <w:r>
        <w:rPr>
          <w:color w:val="000000"/>
        </w:rPr>
        <w:t>    </w:t>
      </w:r>
      <w:r>
        <w:rPr>
          <w:rFonts w:ascii="Times New Roman;serif" w:hAnsi="Times New Roman;serif"/>
          <w:b w:val="false"/>
          <w:color w:val="000000"/>
          <w:sz w:val="22"/>
        </w:rPr>
        <w:t>Loans    </w:t>
      </w:r>
      <w:hyperlink w:anchor="i1af95870ab1e4d90b56c2d32f098e44a_48">
        <w:r>
          <w:rPr>
            <w:rStyle w:val="InternetLink"/>
            <w:rFonts w:ascii="Times New Roman;serif" w:hAnsi="Times New Roman;serif"/>
            <w:b w:val="false"/>
            <w:strike w:val="false"/>
            <w:dstrike w:val="false"/>
            <w:color w:val="000000"/>
            <w:sz w:val="22"/>
            <w:u w:val="none"/>
            <w:effect w:val="none"/>
          </w:rPr>
          <w:t>50</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2.02</w:t>
      </w:r>
      <w:r>
        <w:rPr>
          <w:color w:val="000000"/>
        </w:rPr>
        <w:t>    </w:t>
      </w:r>
      <w:r>
        <w:rPr>
          <w:rFonts w:ascii="Times New Roman;serif" w:hAnsi="Times New Roman;serif"/>
          <w:b w:val="false"/>
          <w:color w:val="000000"/>
          <w:sz w:val="22"/>
        </w:rPr>
        <w:t>Borrowings, Conversions and Continuations of Loans    </w:t>
      </w:r>
      <w:hyperlink w:anchor="i1af95870ab1e4d90b56c2d32f098e44a_48">
        <w:r>
          <w:rPr>
            <w:rStyle w:val="InternetLink"/>
            <w:rFonts w:ascii="Times New Roman;serif" w:hAnsi="Times New Roman;serif"/>
            <w:b w:val="false"/>
            <w:strike w:val="false"/>
            <w:dstrike w:val="false"/>
            <w:color w:val="000000"/>
            <w:sz w:val="22"/>
            <w:u w:val="none"/>
            <w:effect w:val="none"/>
          </w:rPr>
          <w:t>51</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2.03</w:t>
      </w:r>
      <w:r>
        <w:rPr>
          <w:color w:val="000000"/>
        </w:rPr>
        <w:t>    </w:t>
      </w:r>
      <w:r>
        <w:rPr>
          <w:rFonts w:ascii="Times New Roman;serif" w:hAnsi="Times New Roman;serif"/>
          <w:b w:val="false"/>
          <w:color w:val="000000"/>
          <w:sz w:val="22"/>
        </w:rPr>
        <w:t>Letters of Credit    </w:t>
      </w:r>
      <w:hyperlink w:anchor="i1af95870ab1e4d90b56c2d32f098e44a_48">
        <w:r>
          <w:rPr>
            <w:rStyle w:val="InternetLink"/>
            <w:rFonts w:ascii="Times New Roman;serif" w:hAnsi="Times New Roman;serif"/>
            <w:b w:val="false"/>
            <w:strike w:val="false"/>
            <w:dstrike w:val="false"/>
            <w:color w:val="000000"/>
            <w:sz w:val="22"/>
            <w:u w:val="none"/>
            <w:effect w:val="none"/>
          </w:rPr>
          <w:t>53</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2.04</w:t>
      </w:r>
      <w:r>
        <w:rPr>
          <w:color w:val="000000"/>
        </w:rPr>
        <w:t>    </w:t>
      </w:r>
      <w:r>
        <w:rPr>
          <w:rFonts w:ascii="Times New Roman;serif" w:hAnsi="Times New Roman;serif"/>
          <w:b w:val="false"/>
          <w:color w:val="000000"/>
          <w:sz w:val="22"/>
        </w:rPr>
        <w:t>Swingline Loans    </w:t>
      </w:r>
      <w:hyperlink w:anchor="i1af95870ab1e4d90b56c2d32f098e44a_48">
        <w:r>
          <w:rPr>
            <w:rStyle w:val="InternetLink"/>
            <w:rFonts w:ascii="Times New Roman;serif" w:hAnsi="Times New Roman;serif"/>
            <w:b w:val="false"/>
            <w:strike w:val="false"/>
            <w:dstrike w:val="false"/>
            <w:color w:val="000000"/>
            <w:sz w:val="22"/>
            <w:u w:val="none"/>
            <w:effect w:val="none"/>
          </w:rPr>
          <w:t>63</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2.05</w:t>
      </w:r>
      <w:r>
        <w:rPr>
          <w:color w:val="000000"/>
        </w:rPr>
        <w:t>    </w:t>
      </w:r>
      <w:r>
        <w:rPr>
          <w:rFonts w:ascii="Times New Roman;serif" w:hAnsi="Times New Roman;serif"/>
          <w:b w:val="false"/>
          <w:color w:val="000000"/>
          <w:sz w:val="22"/>
        </w:rPr>
        <w:t>Prepayments    </w:t>
      </w:r>
      <w:hyperlink w:anchor="i1af95870ab1e4d90b56c2d32f098e44a_48">
        <w:r>
          <w:rPr>
            <w:rStyle w:val="InternetLink"/>
            <w:rFonts w:ascii="Times New Roman;serif" w:hAnsi="Times New Roman;serif"/>
            <w:b w:val="false"/>
            <w:strike w:val="false"/>
            <w:dstrike w:val="false"/>
            <w:color w:val="000000"/>
            <w:sz w:val="22"/>
            <w:u w:val="none"/>
            <w:effect w:val="none"/>
          </w:rPr>
          <w:t>66</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2.06</w:t>
      </w:r>
      <w:r>
        <w:rPr>
          <w:color w:val="000000"/>
        </w:rPr>
        <w:t>    </w:t>
      </w:r>
      <w:r>
        <w:rPr>
          <w:rFonts w:ascii="Times New Roman;serif" w:hAnsi="Times New Roman;serif"/>
          <w:b w:val="false"/>
          <w:color w:val="000000"/>
          <w:sz w:val="22"/>
        </w:rPr>
        <w:t>Termination or Reduction of Commitments    </w:t>
      </w:r>
      <w:hyperlink w:anchor="i1af95870ab1e4d90b56c2d32f098e44a_48">
        <w:r>
          <w:rPr>
            <w:rStyle w:val="InternetLink"/>
            <w:rFonts w:ascii="Times New Roman;serif" w:hAnsi="Times New Roman;serif"/>
            <w:b w:val="false"/>
            <w:strike w:val="false"/>
            <w:dstrike w:val="false"/>
            <w:color w:val="000000"/>
            <w:sz w:val="22"/>
            <w:u w:val="none"/>
            <w:effect w:val="none"/>
          </w:rPr>
          <w:t>67</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2.07</w:t>
      </w:r>
      <w:r>
        <w:rPr>
          <w:color w:val="000000"/>
        </w:rPr>
        <w:t>    </w:t>
      </w:r>
      <w:r>
        <w:rPr>
          <w:rFonts w:ascii="Times New Roman;serif" w:hAnsi="Times New Roman;serif"/>
          <w:b w:val="false"/>
          <w:color w:val="000000"/>
          <w:sz w:val="22"/>
        </w:rPr>
        <w:t>Repayment of Loans    </w:t>
      </w:r>
      <w:hyperlink w:anchor="i1af95870ab1e4d90b56c2d32f098e44a_48">
        <w:r>
          <w:rPr>
            <w:rStyle w:val="InternetLink"/>
            <w:rFonts w:ascii="Times New Roman;serif" w:hAnsi="Times New Roman;serif"/>
            <w:b w:val="false"/>
            <w:strike w:val="false"/>
            <w:dstrike w:val="false"/>
            <w:color w:val="000000"/>
            <w:sz w:val="22"/>
            <w:u w:val="none"/>
            <w:effect w:val="none"/>
          </w:rPr>
          <w:t>68</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2.08</w:t>
      </w:r>
      <w:r>
        <w:rPr>
          <w:color w:val="000000"/>
        </w:rPr>
        <w:t>    </w:t>
      </w:r>
      <w:r>
        <w:rPr>
          <w:rFonts w:ascii="Times New Roman;serif" w:hAnsi="Times New Roman;serif"/>
          <w:b w:val="false"/>
          <w:color w:val="000000"/>
          <w:sz w:val="22"/>
        </w:rPr>
        <w:t>Interest and Default Rate    </w:t>
      </w:r>
      <w:hyperlink w:anchor="i1af95870ab1e4d90b56c2d32f098e44a_48">
        <w:r>
          <w:rPr>
            <w:rStyle w:val="InternetLink"/>
            <w:rFonts w:ascii="Times New Roman;serif" w:hAnsi="Times New Roman;serif"/>
            <w:b w:val="false"/>
            <w:strike w:val="false"/>
            <w:dstrike w:val="false"/>
            <w:color w:val="000000"/>
            <w:sz w:val="22"/>
            <w:u w:val="none"/>
            <w:effect w:val="none"/>
          </w:rPr>
          <w:t>69</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2.09</w:t>
      </w:r>
      <w:r>
        <w:rPr>
          <w:color w:val="000000"/>
        </w:rPr>
        <w:t>    </w:t>
      </w:r>
      <w:r>
        <w:rPr>
          <w:rFonts w:ascii="Times New Roman;serif" w:hAnsi="Times New Roman;serif"/>
          <w:b w:val="false"/>
          <w:color w:val="000000"/>
          <w:sz w:val="22"/>
        </w:rPr>
        <w:t>Fees    </w:t>
      </w:r>
      <w:hyperlink w:anchor="i1af95870ab1e4d90b56c2d32f098e44a_48">
        <w:r>
          <w:rPr>
            <w:rStyle w:val="InternetLink"/>
            <w:rFonts w:ascii="Times New Roman;serif" w:hAnsi="Times New Roman;serif"/>
            <w:b w:val="false"/>
            <w:strike w:val="false"/>
            <w:dstrike w:val="false"/>
            <w:color w:val="000000"/>
            <w:sz w:val="22"/>
            <w:u w:val="none"/>
            <w:effect w:val="none"/>
          </w:rPr>
          <w:t>70</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2.10</w:t>
      </w:r>
      <w:r>
        <w:rPr>
          <w:color w:val="000000"/>
        </w:rPr>
        <w:t>    </w:t>
      </w:r>
      <w:r>
        <w:rPr>
          <w:rFonts w:ascii="Times New Roman;serif" w:hAnsi="Times New Roman;serif"/>
          <w:b w:val="false"/>
          <w:color w:val="000000"/>
          <w:sz w:val="22"/>
        </w:rPr>
        <w:t>Computation of Interest and Fees; Retroactive Adjustments of Applicable Rate    </w:t>
      </w:r>
      <w:hyperlink w:anchor="i1af95870ab1e4d90b56c2d32f098e44a_48">
        <w:r>
          <w:rPr>
            <w:rStyle w:val="InternetLink"/>
            <w:rFonts w:ascii="Times New Roman;serif" w:hAnsi="Times New Roman;serif"/>
            <w:b w:val="false"/>
            <w:strike w:val="false"/>
            <w:dstrike w:val="false"/>
            <w:color w:val="000000"/>
            <w:sz w:val="22"/>
            <w:u w:val="none"/>
            <w:effect w:val="none"/>
          </w:rPr>
          <w:t>71</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2.11</w:t>
      </w:r>
      <w:r>
        <w:rPr>
          <w:color w:val="000000"/>
        </w:rPr>
        <w:t>    </w:t>
      </w:r>
      <w:r>
        <w:rPr>
          <w:rFonts w:ascii="Times New Roman;serif" w:hAnsi="Times New Roman;serif"/>
          <w:b w:val="false"/>
          <w:color w:val="000000"/>
          <w:sz w:val="22"/>
        </w:rPr>
        <w:t>Evidence of Debt    </w:t>
      </w:r>
      <w:hyperlink w:anchor="i1af95870ab1e4d90b56c2d32f098e44a_48">
        <w:r>
          <w:rPr>
            <w:rStyle w:val="InternetLink"/>
            <w:rFonts w:ascii="Times New Roman;serif" w:hAnsi="Times New Roman;serif"/>
            <w:b w:val="false"/>
            <w:strike w:val="false"/>
            <w:dstrike w:val="false"/>
            <w:color w:val="000000"/>
            <w:sz w:val="22"/>
            <w:u w:val="none"/>
            <w:effect w:val="none"/>
          </w:rPr>
          <w:t>72</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2.12</w:t>
      </w:r>
      <w:r>
        <w:rPr>
          <w:color w:val="000000"/>
        </w:rPr>
        <w:t>    </w:t>
      </w:r>
      <w:r>
        <w:rPr>
          <w:rFonts w:ascii="Times New Roman;serif" w:hAnsi="Times New Roman;serif"/>
          <w:b w:val="false"/>
          <w:color w:val="000000"/>
          <w:sz w:val="22"/>
        </w:rPr>
        <w:t>Payments Generally; Administrative Agent’s Clawback    </w:t>
      </w:r>
      <w:hyperlink w:anchor="i1af95870ab1e4d90b56c2d32f098e44a_48">
        <w:r>
          <w:rPr>
            <w:rStyle w:val="InternetLink"/>
            <w:rFonts w:ascii="Times New Roman;serif" w:hAnsi="Times New Roman;serif"/>
            <w:b w:val="false"/>
            <w:strike w:val="false"/>
            <w:dstrike w:val="false"/>
            <w:color w:val="000000"/>
            <w:sz w:val="22"/>
            <w:u w:val="none"/>
            <w:effect w:val="none"/>
          </w:rPr>
          <w:t>72</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2.13</w:t>
      </w:r>
      <w:r>
        <w:rPr>
          <w:color w:val="000000"/>
        </w:rPr>
        <w:t>    </w:t>
      </w:r>
      <w:r>
        <w:rPr>
          <w:rFonts w:ascii="Times New Roman;serif" w:hAnsi="Times New Roman;serif"/>
          <w:b w:val="false"/>
          <w:color w:val="000000"/>
          <w:sz w:val="22"/>
        </w:rPr>
        <w:t>Sharing of Payments by Lenders    </w:t>
      </w:r>
      <w:hyperlink w:anchor="i1af95870ab1e4d90b56c2d32f098e44a_48">
        <w:r>
          <w:rPr>
            <w:rStyle w:val="InternetLink"/>
            <w:rFonts w:ascii="Times New Roman;serif" w:hAnsi="Times New Roman;serif"/>
            <w:b w:val="false"/>
            <w:strike w:val="false"/>
            <w:dstrike w:val="false"/>
            <w:color w:val="000000"/>
            <w:sz w:val="22"/>
            <w:u w:val="none"/>
            <w:effect w:val="none"/>
          </w:rPr>
          <w:t>75</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2.14</w:t>
      </w:r>
      <w:r>
        <w:rPr>
          <w:color w:val="000000"/>
        </w:rPr>
        <w:t>    </w:t>
      </w:r>
      <w:r>
        <w:rPr>
          <w:rFonts w:ascii="Times New Roman;serif" w:hAnsi="Times New Roman;serif"/>
          <w:b w:val="false"/>
          <w:color w:val="000000"/>
          <w:sz w:val="22"/>
        </w:rPr>
        <w:t>Cash Collateral    </w:t>
      </w:r>
      <w:hyperlink w:anchor="i1af95870ab1e4d90b56c2d32f098e44a_48">
        <w:r>
          <w:rPr>
            <w:rStyle w:val="InternetLink"/>
            <w:rFonts w:ascii="Times New Roman;serif" w:hAnsi="Times New Roman;serif"/>
            <w:b w:val="false"/>
            <w:strike w:val="false"/>
            <w:dstrike w:val="false"/>
            <w:color w:val="000000"/>
            <w:sz w:val="22"/>
            <w:u w:val="none"/>
            <w:effect w:val="none"/>
          </w:rPr>
          <w:t>75</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2.15</w:t>
      </w:r>
      <w:r>
        <w:rPr>
          <w:color w:val="000000"/>
        </w:rPr>
        <w:t>    </w:t>
      </w:r>
      <w:r>
        <w:rPr>
          <w:rFonts w:ascii="Times New Roman;serif" w:hAnsi="Times New Roman;serif"/>
          <w:b w:val="false"/>
          <w:color w:val="000000"/>
          <w:sz w:val="22"/>
        </w:rPr>
        <w:t>Defaulting Lenders    </w:t>
      </w:r>
      <w:hyperlink w:anchor="i1af95870ab1e4d90b56c2d32f098e44a_48">
        <w:r>
          <w:rPr>
            <w:rStyle w:val="InternetLink"/>
            <w:rFonts w:ascii="Times New Roman;serif" w:hAnsi="Times New Roman;serif"/>
            <w:b w:val="false"/>
            <w:strike w:val="false"/>
            <w:dstrike w:val="false"/>
            <w:color w:val="000000"/>
            <w:sz w:val="22"/>
            <w:u w:val="none"/>
            <w:effect w:val="none"/>
          </w:rPr>
          <w:t>76</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2.16</w:t>
      </w:r>
      <w:r>
        <w:rPr>
          <w:color w:val="000000"/>
        </w:rPr>
        <w:t>    </w:t>
      </w:r>
      <w:r>
        <w:rPr>
          <w:rFonts w:ascii="Times New Roman;serif" w:hAnsi="Times New Roman;serif"/>
          <w:b w:val="false"/>
          <w:color w:val="000000"/>
          <w:sz w:val="22"/>
        </w:rPr>
        <w:t>[Reserved]    </w:t>
      </w:r>
      <w:hyperlink w:anchor="i1af95870ab1e4d90b56c2d32f098e44a_48">
        <w:r>
          <w:rPr>
            <w:rStyle w:val="InternetLink"/>
            <w:rFonts w:ascii="Times New Roman;serif" w:hAnsi="Times New Roman;serif"/>
            <w:b w:val="false"/>
            <w:strike w:val="false"/>
            <w:dstrike w:val="false"/>
            <w:color w:val="000000"/>
            <w:sz w:val="22"/>
            <w:u w:val="none"/>
            <w:effect w:val="none"/>
          </w:rPr>
          <w:t>79</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2.17</w:t>
      </w:r>
      <w:r>
        <w:rPr>
          <w:color w:val="000000"/>
        </w:rPr>
        <w:t>    </w:t>
      </w:r>
      <w:r>
        <w:rPr>
          <w:rFonts w:ascii="Times New Roman;serif" w:hAnsi="Times New Roman;serif"/>
          <w:b w:val="false"/>
          <w:color w:val="000000"/>
          <w:sz w:val="22"/>
        </w:rPr>
        <w:t>Designated Lenders    </w:t>
      </w:r>
      <w:hyperlink w:anchor="i1af95870ab1e4d90b56c2d32f098e44a_48">
        <w:r>
          <w:rPr>
            <w:rStyle w:val="InternetLink"/>
            <w:rFonts w:ascii="Times New Roman;serif" w:hAnsi="Times New Roman;serif"/>
            <w:b w:val="false"/>
            <w:strike w:val="false"/>
            <w:dstrike w:val="false"/>
            <w:color w:val="000000"/>
            <w:sz w:val="22"/>
            <w:u w:val="none"/>
            <w:effect w:val="none"/>
          </w:rPr>
          <w:t>79</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2.18</w:t>
      </w:r>
      <w:r>
        <w:rPr>
          <w:color w:val="000000"/>
        </w:rPr>
        <w:t>    </w:t>
      </w:r>
      <w:r>
        <w:rPr>
          <w:rFonts w:ascii="Times New Roman;serif" w:hAnsi="Times New Roman;serif"/>
          <w:b w:val="false"/>
          <w:color w:val="000000"/>
          <w:sz w:val="22"/>
        </w:rPr>
        <w:t>[Reserved]    </w:t>
      </w:r>
      <w:hyperlink w:anchor="i1af95870ab1e4d90b56c2d32f098e44a_48">
        <w:r>
          <w:rPr>
            <w:rStyle w:val="InternetLink"/>
            <w:rFonts w:ascii="Times New Roman;serif" w:hAnsi="Times New Roman;serif"/>
            <w:b w:val="false"/>
            <w:strike w:val="false"/>
            <w:dstrike w:val="false"/>
            <w:color w:val="000000"/>
            <w:sz w:val="22"/>
            <w:u w:val="none"/>
            <w:effect w:val="none"/>
          </w:rPr>
          <w:t>79</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2.19</w:t>
      </w:r>
      <w:r>
        <w:rPr>
          <w:color w:val="000000"/>
        </w:rPr>
        <w:t>    </w:t>
      </w:r>
      <w:r>
        <w:rPr>
          <w:rFonts w:ascii="Times New Roman;serif" w:hAnsi="Times New Roman;serif"/>
          <w:b w:val="false"/>
          <w:color w:val="000000"/>
          <w:sz w:val="22"/>
        </w:rPr>
        <w:t>Increase in Commitments    </w:t>
      </w:r>
      <w:hyperlink w:anchor="i1af95870ab1e4d90b56c2d32f098e44a_48">
        <w:r>
          <w:rPr>
            <w:rStyle w:val="InternetLink"/>
            <w:rFonts w:ascii="Times New Roman;serif" w:hAnsi="Times New Roman;serif"/>
            <w:b w:val="false"/>
            <w:strike w:val="false"/>
            <w:dstrike w:val="false"/>
            <w:color w:val="000000"/>
            <w:sz w:val="22"/>
            <w:u w:val="none"/>
            <w:effect w:val="none"/>
          </w:rPr>
          <w:t>79</w:t>
        </w:r>
      </w:hyperlink>
    </w:p>
    <w:p>
      <w:pPr>
        <w:pStyle w:val="TextBody"/>
        <w:bidi w:val="0"/>
        <w:spacing w:lineRule="auto" w:line="288" w:before="120" w:after="120"/>
        <w:ind w:left="0" w:right="0" w:hanging="720"/>
        <w:jc w:val="left"/>
        <w:rPr/>
      </w:pPr>
      <w:r>
        <w:rPr>
          <w:rFonts w:ascii="Times New Roman;serif" w:hAnsi="Times New Roman;serif"/>
          <w:b w:val="false"/>
          <w:color w:val="000000"/>
          <w:sz w:val="22"/>
        </w:rPr>
        <w:t>ARTICLE III TAXES, YIELD PROTECTION AND ILLEGALITY    </w:t>
      </w:r>
      <w:hyperlink w:anchor="i1af95870ab1e4d90b56c2d32f098e44a_48">
        <w:r>
          <w:rPr>
            <w:rStyle w:val="InternetLink"/>
            <w:rFonts w:ascii="Times New Roman;serif" w:hAnsi="Times New Roman;serif"/>
            <w:b w:val="false"/>
            <w:strike w:val="false"/>
            <w:dstrike w:val="false"/>
            <w:color w:val="000000"/>
            <w:sz w:val="22"/>
            <w:u w:val="none"/>
            <w:effect w:val="none"/>
          </w:rPr>
          <w:t>81</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3.01</w:t>
      </w:r>
      <w:r>
        <w:rPr>
          <w:color w:val="000000"/>
        </w:rPr>
        <w:t>    </w:t>
      </w:r>
      <w:r>
        <w:rPr>
          <w:rFonts w:ascii="Times New Roman;serif" w:hAnsi="Times New Roman;serif"/>
          <w:b w:val="false"/>
          <w:color w:val="000000"/>
          <w:sz w:val="22"/>
        </w:rPr>
        <w:t>Taxes    </w:t>
      </w:r>
      <w:hyperlink w:anchor="i1af95870ab1e4d90b56c2d32f098e44a_48">
        <w:r>
          <w:rPr>
            <w:rStyle w:val="InternetLink"/>
            <w:rFonts w:ascii="Times New Roman;serif" w:hAnsi="Times New Roman;serif"/>
            <w:b w:val="false"/>
            <w:strike w:val="false"/>
            <w:dstrike w:val="false"/>
            <w:color w:val="000000"/>
            <w:sz w:val="22"/>
            <w:u w:val="none"/>
            <w:effect w:val="none"/>
          </w:rPr>
          <w:t>81</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3.02</w:t>
      </w:r>
      <w:r>
        <w:rPr>
          <w:color w:val="000000"/>
        </w:rPr>
        <w:t>    </w:t>
      </w:r>
      <w:r>
        <w:rPr>
          <w:rFonts w:ascii="Times New Roman;serif" w:hAnsi="Times New Roman;serif"/>
          <w:b w:val="false"/>
          <w:color w:val="000000"/>
          <w:sz w:val="22"/>
        </w:rPr>
        <w:t>Illegality    </w:t>
      </w:r>
      <w:hyperlink w:anchor="i1af95870ab1e4d90b56c2d32f098e44a_48">
        <w:r>
          <w:rPr>
            <w:rStyle w:val="InternetLink"/>
            <w:rFonts w:ascii="Times New Roman;serif" w:hAnsi="Times New Roman;serif"/>
            <w:b w:val="false"/>
            <w:strike w:val="false"/>
            <w:dstrike w:val="false"/>
            <w:color w:val="000000"/>
            <w:sz w:val="22"/>
            <w:u w:val="none"/>
            <w:effect w:val="none"/>
          </w:rPr>
          <w:t>87</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3.03</w:t>
      </w:r>
      <w:r>
        <w:rPr>
          <w:color w:val="000000"/>
        </w:rPr>
        <w:t>    </w:t>
      </w:r>
      <w:r>
        <w:rPr>
          <w:rFonts w:ascii="Times New Roman;serif" w:hAnsi="Times New Roman;serif"/>
          <w:b w:val="false"/>
          <w:color w:val="000000"/>
          <w:sz w:val="22"/>
        </w:rPr>
        <w:t>Inability to Determine Rates    </w:t>
      </w:r>
      <w:hyperlink w:anchor="i1af95870ab1e4d90b56c2d32f098e44a_48">
        <w:r>
          <w:rPr>
            <w:rStyle w:val="InternetLink"/>
            <w:rFonts w:ascii="Times New Roman;serif" w:hAnsi="Times New Roman;serif"/>
            <w:b w:val="false"/>
            <w:strike w:val="false"/>
            <w:dstrike w:val="false"/>
            <w:color w:val="000000"/>
            <w:sz w:val="22"/>
            <w:u w:val="none"/>
            <w:effect w:val="none"/>
          </w:rPr>
          <w:t>88</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3.04</w:t>
      </w:r>
      <w:r>
        <w:rPr>
          <w:color w:val="000000"/>
        </w:rPr>
        <w:t>    </w:t>
      </w:r>
      <w:r>
        <w:rPr>
          <w:rFonts w:ascii="Times New Roman;serif" w:hAnsi="Times New Roman;serif"/>
          <w:b w:val="false"/>
          <w:color w:val="000000"/>
          <w:sz w:val="22"/>
        </w:rPr>
        <w:t>Increased Costs    </w:t>
      </w:r>
      <w:hyperlink w:anchor="i1af95870ab1e4d90b56c2d32f098e44a_48">
        <w:r>
          <w:rPr>
            <w:rStyle w:val="InternetLink"/>
            <w:rFonts w:ascii="Times New Roman;serif" w:hAnsi="Times New Roman;serif"/>
            <w:b w:val="false"/>
            <w:strike w:val="false"/>
            <w:dstrike w:val="false"/>
            <w:color w:val="000000"/>
            <w:sz w:val="22"/>
            <w:u w:val="none"/>
            <w:effect w:val="none"/>
          </w:rPr>
          <w:t>91</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3.05</w:t>
      </w:r>
      <w:r>
        <w:rPr>
          <w:color w:val="000000"/>
        </w:rPr>
        <w:t>    </w:t>
      </w:r>
      <w:r>
        <w:rPr>
          <w:rFonts w:ascii="Times New Roman;serif" w:hAnsi="Times New Roman;serif"/>
          <w:b w:val="false"/>
          <w:color w:val="000000"/>
          <w:sz w:val="22"/>
        </w:rPr>
        <w:t>Compensation for Losses    </w:t>
      </w:r>
      <w:hyperlink w:anchor="i1af95870ab1e4d90b56c2d32f098e44a_48">
        <w:r>
          <w:rPr>
            <w:rStyle w:val="InternetLink"/>
            <w:rFonts w:ascii="Times New Roman;serif" w:hAnsi="Times New Roman;serif"/>
            <w:b w:val="false"/>
            <w:strike w:val="false"/>
            <w:dstrike w:val="false"/>
            <w:color w:val="000000"/>
            <w:sz w:val="22"/>
            <w:u w:val="none"/>
            <w:effect w:val="none"/>
          </w:rPr>
          <w:t>93</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3.06</w:t>
      </w:r>
      <w:r>
        <w:rPr>
          <w:color w:val="000000"/>
        </w:rPr>
        <w:t>    </w:t>
      </w:r>
      <w:r>
        <w:rPr>
          <w:rFonts w:ascii="Times New Roman;serif" w:hAnsi="Times New Roman;serif"/>
          <w:b w:val="false"/>
          <w:color w:val="000000"/>
          <w:sz w:val="22"/>
        </w:rPr>
        <w:t>Mitigation Obligations; Replacement of Lenders    </w:t>
      </w:r>
      <w:hyperlink w:anchor="i1af95870ab1e4d90b56c2d32f098e44a_48">
        <w:r>
          <w:rPr>
            <w:rStyle w:val="InternetLink"/>
            <w:rFonts w:ascii="Times New Roman;serif" w:hAnsi="Times New Roman;serif"/>
            <w:b w:val="false"/>
            <w:strike w:val="false"/>
            <w:dstrike w:val="false"/>
            <w:color w:val="000000"/>
            <w:sz w:val="22"/>
            <w:u w:val="none"/>
            <w:effect w:val="none"/>
          </w:rPr>
          <w:t>93</w:t>
        </w:r>
      </w:hyperlink>
    </w:p>
    <w:p>
      <w:pPr>
        <w:pStyle w:val="TextBody"/>
        <w:bidi w:val="0"/>
        <w:spacing w:lineRule="auto" w:line="288"/>
        <w:ind w:left="0" w:right="0" w:hanging="720"/>
        <w:jc w:val="left"/>
        <w:rPr/>
      </w:pPr>
      <w:r>
        <w:rPr>
          <w:rFonts w:ascii="Times New Roman;serif" w:hAnsi="Times New Roman;serif"/>
          <w:b w:val="false"/>
          <w:color w:val="000000"/>
          <w:sz w:val="22"/>
        </w:rPr>
        <w:t>3.07</w:t>
      </w:r>
      <w:r>
        <w:rPr>
          <w:color w:val="000000"/>
        </w:rPr>
        <w:t>    </w:t>
      </w:r>
      <w:r>
        <w:rPr>
          <w:rFonts w:ascii="Times New Roman;serif" w:hAnsi="Times New Roman;serif"/>
          <w:b w:val="false"/>
          <w:color w:val="000000"/>
          <w:sz w:val="22"/>
        </w:rPr>
        <w:t>Survival    </w:t>
      </w:r>
      <w:hyperlink w:anchor="i1af95870ab1e4d90b56c2d32f098e44a_48">
        <w:r>
          <w:rPr>
            <w:rStyle w:val="InternetLink"/>
            <w:rFonts w:ascii="Times New Roman;serif" w:hAnsi="Times New Roman;serif"/>
            <w:b w:val="false"/>
            <w:strike w:val="false"/>
            <w:dstrike w:val="false"/>
            <w:color w:val="000000"/>
            <w:sz w:val="22"/>
            <w:u w:val="none"/>
            <w:effect w:val="none"/>
          </w:rPr>
          <w:t>94</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25780"/>
                <wp:effectExtent l="0" t="0" r="0" b="0"/>
                <wp:wrapNone/>
                <wp:docPr id="30" name="Frame3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tLeast" w:line="180" w:before="0" w:after="0"/>
                              <w:jc w:val="left"/>
                              <w:rPr>
                                <w:color w:val="000000"/>
                              </w:rPr>
                            </w:pPr>
                            <w:r>
                              <w:rPr>
                                <w:color w:val="000000"/>
                              </w:rPr>
                              <w:t>    </w:t>
                            </w:r>
                            <w:r>
                              <w:rPr>
                                <w:rFonts w:ascii="Times New Roman;serif" w:hAnsi="Times New Roman;serif"/>
                                <w:b w:val="false"/>
                                <w:color w:val="000000"/>
                                <w:sz w:val="18"/>
                              </w:rPr>
                              <w:t>ii</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0"/>
                        <w:jc w:val="left"/>
                        <w:rPr>
                          <w:color w:val="000000"/>
                        </w:rPr>
                      </w:pPr>
                      <w:r>
                        <w:rPr>
                          <w:color w:val="000000"/>
                        </w:rPr>
                        <w:t>    </w:t>
                      </w:r>
                      <w:r>
                        <w:rPr>
                          <w:rFonts w:ascii="Times New Roman;serif" w:hAnsi="Times New Roman;serif"/>
                          <w:b w:val="false"/>
                          <w:color w:val="000000"/>
                          <w:sz w:val="18"/>
                        </w:rPr>
                        <w:t>ii</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720"/>
        <w:jc w:val="left"/>
        <w:rPr/>
      </w:pPr>
      <w:r>
        <w:rPr>
          <w:rFonts w:ascii="Times New Roman;serif" w:hAnsi="Times New Roman;serif"/>
          <w:b w:val="false"/>
          <w:color w:val="000000"/>
          <w:sz w:val="22"/>
        </w:rPr>
        <w:t>ARTICLE IV CONDITIONS PRECEDENT TO CREDIT EXTENSIONS    </w:t>
      </w:r>
      <w:hyperlink w:anchor="i1af95870ab1e4d90b56c2d32f098e44a_48">
        <w:r>
          <w:rPr>
            <w:rStyle w:val="InternetLink"/>
            <w:rFonts w:ascii="Times New Roman;serif" w:hAnsi="Times New Roman;serif"/>
            <w:b w:val="false"/>
            <w:strike w:val="false"/>
            <w:dstrike w:val="false"/>
            <w:color w:val="000000"/>
            <w:sz w:val="22"/>
            <w:u w:val="none"/>
            <w:effect w:val="none"/>
          </w:rPr>
          <w:t>94</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4.01</w:t>
      </w:r>
      <w:r>
        <w:rPr>
          <w:color w:val="000000"/>
        </w:rPr>
        <w:t>    </w:t>
      </w:r>
      <w:r>
        <w:rPr>
          <w:rFonts w:ascii="Times New Roman;serif" w:hAnsi="Times New Roman;serif"/>
          <w:b w:val="false"/>
          <w:color w:val="000000"/>
          <w:sz w:val="22"/>
        </w:rPr>
        <w:t>Conditions of Initial Credit Extension    </w:t>
      </w:r>
      <w:hyperlink w:anchor="i1af95870ab1e4d90b56c2d32f098e44a_48">
        <w:r>
          <w:rPr>
            <w:rStyle w:val="InternetLink"/>
            <w:rFonts w:ascii="Times New Roman;serif" w:hAnsi="Times New Roman;serif"/>
            <w:b w:val="false"/>
            <w:strike w:val="false"/>
            <w:dstrike w:val="false"/>
            <w:color w:val="000000"/>
            <w:sz w:val="22"/>
            <w:u w:val="none"/>
            <w:effect w:val="none"/>
          </w:rPr>
          <w:t>94</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4.02</w:t>
      </w:r>
      <w:r>
        <w:rPr>
          <w:color w:val="000000"/>
        </w:rPr>
        <w:t>    </w:t>
      </w:r>
      <w:r>
        <w:rPr>
          <w:rFonts w:ascii="Times New Roman;serif" w:hAnsi="Times New Roman;serif"/>
          <w:b w:val="false"/>
          <w:color w:val="000000"/>
          <w:sz w:val="22"/>
        </w:rPr>
        <w:t>Conditions to all Credit Extensions    </w:t>
      </w:r>
      <w:hyperlink w:anchor="i1af95870ab1e4d90b56c2d32f098e44a_48">
        <w:r>
          <w:rPr>
            <w:rStyle w:val="InternetLink"/>
            <w:rFonts w:ascii="Times New Roman;serif" w:hAnsi="Times New Roman;serif"/>
            <w:b w:val="false"/>
            <w:strike w:val="false"/>
            <w:dstrike w:val="false"/>
            <w:color w:val="000000"/>
            <w:sz w:val="22"/>
            <w:u w:val="none"/>
            <w:effect w:val="none"/>
          </w:rPr>
          <w:t>96</w:t>
        </w:r>
      </w:hyperlink>
    </w:p>
    <w:p>
      <w:pPr>
        <w:pStyle w:val="TextBody"/>
        <w:bidi w:val="0"/>
        <w:spacing w:lineRule="auto" w:line="288" w:before="120" w:after="120"/>
        <w:ind w:left="0" w:right="0" w:hanging="720"/>
        <w:jc w:val="left"/>
        <w:rPr/>
      </w:pPr>
      <w:r>
        <w:rPr>
          <w:rFonts w:ascii="Times New Roman;serif" w:hAnsi="Times New Roman;serif"/>
          <w:b w:val="false"/>
          <w:color w:val="000000"/>
          <w:sz w:val="22"/>
        </w:rPr>
        <w:t>ARTICLE V REPRESENTATIONS AND WARRANTIES    </w:t>
      </w:r>
      <w:hyperlink w:anchor="i1af95870ab1e4d90b56c2d32f098e44a_48">
        <w:r>
          <w:rPr>
            <w:rStyle w:val="InternetLink"/>
            <w:rFonts w:ascii="Times New Roman;serif" w:hAnsi="Times New Roman;serif"/>
            <w:b w:val="false"/>
            <w:strike w:val="false"/>
            <w:dstrike w:val="false"/>
            <w:color w:val="000000"/>
            <w:sz w:val="22"/>
            <w:u w:val="none"/>
            <w:effect w:val="none"/>
          </w:rPr>
          <w:t>97</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5.01</w:t>
      </w:r>
      <w:r>
        <w:rPr>
          <w:color w:val="000000"/>
        </w:rPr>
        <w:t>    </w:t>
      </w:r>
      <w:r>
        <w:rPr>
          <w:rFonts w:ascii="Times New Roman;serif" w:hAnsi="Times New Roman;serif"/>
          <w:b w:val="false"/>
          <w:color w:val="000000"/>
          <w:sz w:val="22"/>
        </w:rPr>
        <w:t>Existence, Qualification and Power    </w:t>
      </w:r>
      <w:hyperlink w:anchor="i1af95870ab1e4d90b56c2d32f098e44a_48">
        <w:r>
          <w:rPr>
            <w:rStyle w:val="InternetLink"/>
            <w:rFonts w:ascii="Times New Roman;serif" w:hAnsi="Times New Roman;serif"/>
            <w:b w:val="false"/>
            <w:strike w:val="false"/>
            <w:dstrike w:val="false"/>
            <w:color w:val="000000"/>
            <w:sz w:val="22"/>
            <w:u w:val="none"/>
            <w:effect w:val="none"/>
          </w:rPr>
          <w:t>97</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5.02</w:t>
      </w:r>
      <w:r>
        <w:rPr>
          <w:color w:val="000000"/>
        </w:rPr>
        <w:t>    </w:t>
      </w:r>
      <w:r>
        <w:rPr>
          <w:rFonts w:ascii="Times New Roman;serif" w:hAnsi="Times New Roman;serif"/>
          <w:b w:val="false"/>
          <w:color w:val="000000"/>
          <w:sz w:val="22"/>
        </w:rPr>
        <w:t>Authorization; No Contravention    </w:t>
      </w:r>
      <w:hyperlink w:anchor="i1af95870ab1e4d90b56c2d32f098e44a_48">
        <w:r>
          <w:rPr>
            <w:rStyle w:val="InternetLink"/>
            <w:rFonts w:ascii="Times New Roman;serif" w:hAnsi="Times New Roman;serif"/>
            <w:b w:val="false"/>
            <w:strike w:val="false"/>
            <w:dstrike w:val="false"/>
            <w:color w:val="000000"/>
            <w:sz w:val="22"/>
            <w:u w:val="none"/>
            <w:effect w:val="none"/>
          </w:rPr>
          <w:t>98</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5.03</w:t>
      </w:r>
      <w:r>
        <w:rPr>
          <w:color w:val="000000"/>
        </w:rPr>
        <w:t>    </w:t>
      </w:r>
      <w:r>
        <w:rPr>
          <w:rFonts w:ascii="Times New Roman;serif" w:hAnsi="Times New Roman;serif"/>
          <w:b w:val="false"/>
          <w:color w:val="000000"/>
          <w:sz w:val="22"/>
        </w:rPr>
        <w:t>Governmental Authorization; Other Consents    </w:t>
      </w:r>
      <w:hyperlink w:anchor="i1af95870ab1e4d90b56c2d32f098e44a_48">
        <w:r>
          <w:rPr>
            <w:rStyle w:val="InternetLink"/>
            <w:rFonts w:ascii="Times New Roman;serif" w:hAnsi="Times New Roman;serif"/>
            <w:b w:val="false"/>
            <w:strike w:val="false"/>
            <w:dstrike w:val="false"/>
            <w:color w:val="000000"/>
            <w:sz w:val="22"/>
            <w:u w:val="none"/>
            <w:effect w:val="none"/>
          </w:rPr>
          <w:t>98</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5.04</w:t>
      </w:r>
      <w:r>
        <w:rPr>
          <w:color w:val="000000"/>
        </w:rPr>
        <w:t>    </w:t>
      </w:r>
      <w:r>
        <w:rPr>
          <w:rFonts w:ascii="Times New Roman;serif" w:hAnsi="Times New Roman;serif"/>
          <w:b w:val="false"/>
          <w:color w:val="000000"/>
          <w:sz w:val="22"/>
        </w:rPr>
        <w:t>Binding Effect    </w:t>
      </w:r>
      <w:hyperlink w:anchor="i1af95870ab1e4d90b56c2d32f098e44a_48">
        <w:r>
          <w:rPr>
            <w:rStyle w:val="InternetLink"/>
            <w:rFonts w:ascii="Times New Roman;serif" w:hAnsi="Times New Roman;serif"/>
            <w:b w:val="false"/>
            <w:strike w:val="false"/>
            <w:dstrike w:val="false"/>
            <w:color w:val="000000"/>
            <w:sz w:val="22"/>
            <w:u w:val="none"/>
            <w:effect w:val="none"/>
          </w:rPr>
          <w:t>98</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5.05</w:t>
      </w:r>
      <w:r>
        <w:rPr>
          <w:color w:val="000000"/>
        </w:rPr>
        <w:t>    </w:t>
      </w:r>
      <w:r>
        <w:rPr>
          <w:rFonts w:ascii="Times New Roman;serif" w:hAnsi="Times New Roman;serif"/>
          <w:b w:val="false"/>
          <w:color w:val="000000"/>
          <w:sz w:val="22"/>
        </w:rPr>
        <w:t>Financial Statements; No Material Adverse Effect    </w:t>
      </w:r>
      <w:hyperlink w:anchor="i1af95870ab1e4d90b56c2d32f098e44a_48">
        <w:r>
          <w:rPr>
            <w:rStyle w:val="InternetLink"/>
            <w:rFonts w:ascii="Times New Roman;serif" w:hAnsi="Times New Roman;serif"/>
            <w:b w:val="false"/>
            <w:strike w:val="false"/>
            <w:dstrike w:val="false"/>
            <w:color w:val="000000"/>
            <w:sz w:val="22"/>
            <w:u w:val="none"/>
            <w:effect w:val="none"/>
          </w:rPr>
          <w:t>98</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5.06</w:t>
      </w:r>
      <w:r>
        <w:rPr>
          <w:color w:val="000000"/>
        </w:rPr>
        <w:t>    </w:t>
      </w:r>
      <w:r>
        <w:rPr>
          <w:rFonts w:ascii="Times New Roman;serif" w:hAnsi="Times New Roman;serif"/>
          <w:b w:val="false"/>
          <w:color w:val="000000"/>
          <w:sz w:val="22"/>
        </w:rPr>
        <w:t>Litigation    </w:t>
      </w:r>
      <w:hyperlink w:anchor="i1af95870ab1e4d90b56c2d32f098e44a_48">
        <w:r>
          <w:rPr>
            <w:rStyle w:val="InternetLink"/>
            <w:rFonts w:ascii="Times New Roman;serif" w:hAnsi="Times New Roman;serif"/>
            <w:b w:val="false"/>
            <w:strike w:val="false"/>
            <w:dstrike w:val="false"/>
            <w:color w:val="000000"/>
            <w:sz w:val="22"/>
            <w:u w:val="none"/>
            <w:effect w:val="none"/>
          </w:rPr>
          <w:t>99</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5.07</w:t>
      </w:r>
      <w:r>
        <w:rPr>
          <w:color w:val="000000"/>
        </w:rPr>
        <w:t>    </w:t>
      </w:r>
      <w:r>
        <w:rPr>
          <w:rFonts w:ascii="Times New Roman;serif" w:hAnsi="Times New Roman;serif"/>
          <w:b w:val="false"/>
          <w:color w:val="000000"/>
          <w:sz w:val="22"/>
        </w:rPr>
        <w:t>No Default    </w:t>
      </w:r>
      <w:hyperlink w:anchor="i1af95870ab1e4d90b56c2d32f098e44a_48">
        <w:r>
          <w:rPr>
            <w:rStyle w:val="InternetLink"/>
            <w:rFonts w:ascii="Times New Roman;serif" w:hAnsi="Times New Roman;serif"/>
            <w:b w:val="false"/>
            <w:strike w:val="false"/>
            <w:dstrike w:val="false"/>
            <w:color w:val="000000"/>
            <w:sz w:val="22"/>
            <w:u w:val="none"/>
            <w:effect w:val="none"/>
          </w:rPr>
          <w:t>99</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5.08</w:t>
      </w:r>
      <w:r>
        <w:rPr>
          <w:color w:val="000000"/>
        </w:rPr>
        <w:t>    </w:t>
      </w:r>
      <w:r>
        <w:rPr>
          <w:rFonts w:ascii="Times New Roman;serif" w:hAnsi="Times New Roman;serif"/>
          <w:b w:val="false"/>
          <w:color w:val="000000"/>
          <w:sz w:val="22"/>
        </w:rPr>
        <w:t>Ownership of Property    </w:t>
      </w:r>
      <w:hyperlink w:anchor="i1af95870ab1e4d90b56c2d32f098e44a_48">
        <w:r>
          <w:rPr>
            <w:rStyle w:val="InternetLink"/>
            <w:rFonts w:ascii="Times New Roman;serif" w:hAnsi="Times New Roman;serif"/>
            <w:b w:val="false"/>
            <w:strike w:val="false"/>
            <w:dstrike w:val="false"/>
            <w:color w:val="000000"/>
            <w:sz w:val="22"/>
            <w:u w:val="none"/>
            <w:effect w:val="none"/>
          </w:rPr>
          <w:t>99</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5.09</w:t>
      </w:r>
      <w:r>
        <w:rPr>
          <w:color w:val="000000"/>
        </w:rPr>
        <w:t>    </w:t>
      </w:r>
      <w:r>
        <w:rPr>
          <w:rFonts w:ascii="Times New Roman;serif" w:hAnsi="Times New Roman;serif"/>
          <w:b w:val="false"/>
          <w:color w:val="000000"/>
          <w:sz w:val="22"/>
        </w:rPr>
        <w:t>Environmental Matters    </w:t>
      </w:r>
      <w:hyperlink w:anchor="i1af95870ab1e4d90b56c2d32f098e44a_48">
        <w:r>
          <w:rPr>
            <w:rStyle w:val="InternetLink"/>
            <w:rFonts w:ascii="Times New Roman;serif" w:hAnsi="Times New Roman;serif"/>
            <w:b w:val="false"/>
            <w:strike w:val="false"/>
            <w:dstrike w:val="false"/>
            <w:color w:val="000000"/>
            <w:sz w:val="22"/>
            <w:u w:val="none"/>
            <w:effect w:val="none"/>
          </w:rPr>
          <w:t>99</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5.10</w:t>
      </w:r>
      <w:r>
        <w:rPr>
          <w:color w:val="000000"/>
        </w:rPr>
        <w:t>    </w:t>
      </w:r>
      <w:r>
        <w:rPr>
          <w:rFonts w:ascii="Times New Roman;serif" w:hAnsi="Times New Roman;serif"/>
          <w:b w:val="false"/>
          <w:color w:val="000000"/>
          <w:sz w:val="22"/>
        </w:rPr>
        <w:t>Insurance    </w:t>
      </w:r>
      <w:hyperlink w:anchor="i1af95870ab1e4d90b56c2d32f098e44a_48">
        <w:r>
          <w:rPr>
            <w:rStyle w:val="InternetLink"/>
            <w:rFonts w:ascii="Times New Roman;serif" w:hAnsi="Times New Roman;serif"/>
            <w:b w:val="false"/>
            <w:strike w:val="false"/>
            <w:dstrike w:val="false"/>
            <w:color w:val="000000"/>
            <w:sz w:val="22"/>
            <w:u w:val="none"/>
            <w:effect w:val="none"/>
          </w:rPr>
          <w:t>100</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5.11</w:t>
      </w:r>
      <w:r>
        <w:rPr>
          <w:color w:val="000000"/>
        </w:rPr>
        <w:t>    </w:t>
      </w:r>
      <w:r>
        <w:rPr>
          <w:rFonts w:ascii="Times New Roman;serif" w:hAnsi="Times New Roman;serif"/>
          <w:b w:val="false"/>
          <w:color w:val="000000"/>
          <w:sz w:val="22"/>
        </w:rPr>
        <w:t>Taxes    </w:t>
      </w:r>
      <w:hyperlink w:anchor="i1af95870ab1e4d90b56c2d32f098e44a_48">
        <w:r>
          <w:rPr>
            <w:rStyle w:val="InternetLink"/>
            <w:rFonts w:ascii="Times New Roman;serif" w:hAnsi="Times New Roman;serif"/>
            <w:b w:val="false"/>
            <w:strike w:val="false"/>
            <w:dstrike w:val="false"/>
            <w:color w:val="000000"/>
            <w:sz w:val="22"/>
            <w:u w:val="none"/>
            <w:effect w:val="none"/>
          </w:rPr>
          <w:t>101</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5.12</w:t>
      </w:r>
      <w:r>
        <w:rPr>
          <w:color w:val="000000"/>
        </w:rPr>
        <w:t>    </w:t>
      </w:r>
      <w:r>
        <w:rPr>
          <w:rFonts w:ascii="Times New Roman;serif" w:hAnsi="Times New Roman;serif"/>
          <w:b w:val="false"/>
          <w:color w:val="000000"/>
          <w:sz w:val="22"/>
        </w:rPr>
        <w:t>ERISA and Canadian Pension Plan Compliance    </w:t>
      </w:r>
      <w:hyperlink w:anchor="i1af95870ab1e4d90b56c2d32f098e44a_48">
        <w:r>
          <w:rPr>
            <w:rStyle w:val="InternetLink"/>
            <w:rFonts w:ascii="Times New Roman;serif" w:hAnsi="Times New Roman;serif"/>
            <w:b w:val="false"/>
            <w:strike w:val="false"/>
            <w:dstrike w:val="false"/>
            <w:color w:val="000000"/>
            <w:sz w:val="22"/>
            <w:u w:val="none"/>
            <w:effect w:val="none"/>
          </w:rPr>
          <w:t>101</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5.13</w:t>
      </w:r>
      <w:r>
        <w:rPr>
          <w:color w:val="000000"/>
        </w:rPr>
        <w:t>    </w:t>
      </w:r>
      <w:r>
        <w:rPr>
          <w:rFonts w:ascii="Times New Roman;serif" w:hAnsi="Times New Roman;serif"/>
          <w:b w:val="false"/>
          <w:color w:val="000000"/>
          <w:sz w:val="22"/>
        </w:rPr>
        <w:t>United Kingdom Pensions Act 2004    </w:t>
      </w:r>
      <w:hyperlink w:anchor="i1af95870ab1e4d90b56c2d32f098e44a_48">
        <w:r>
          <w:rPr>
            <w:rStyle w:val="InternetLink"/>
            <w:rFonts w:ascii="Times New Roman;serif" w:hAnsi="Times New Roman;serif"/>
            <w:b w:val="false"/>
            <w:strike w:val="false"/>
            <w:dstrike w:val="false"/>
            <w:color w:val="000000"/>
            <w:sz w:val="22"/>
            <w:u w:val="none"/>
            <w:effect w:val="none"/>
          </w:rPr>
          <w:t>102</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5.14</w:t>
      </w:r>
      <w:r>
        <w:rPr>
          <w:color w:val="000000"/>
        </w:rPr>
        <w:t>    </w:t>
      </w:r>
      <w:r>
        <w:rPr>
          <w:rFonts w:ascii="Times New Roman;serif" w:hAnsi="Times New Roman;serif"/>
          <w:b w:val="false"/>
          <w:color w:val="000000"/>
          <w:sz w:val="22"/>
        </w:rPr>
        <w:t>Margin Regulations; Investment Company Act    </w:t>
      </w:r>
      <w:hyperlink w:anchor="i1af95870ab1e4d90b56c2d32f098e44a_48">
        <w:r>
          <w:rPr>
            <w:rStyle w:val="InternetLink"/>
            <w:rFonts w:ascii="Times New Roman;serif" w:hAnsi="Times New Roman;serif"/>
            <w:b w:val="false"/>
            <w:strike w:val="false"/>
            <w:dstrike w:val="false"/>
            <w:color w:val="000000"/>
            <w:sz w:val="22"/>
            <w:u w:val="none"/>
            <w:effect w:val="none"/>
          </w:rPr>
          <w:t>102</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5.15</w:t>
      </w:r>
      <w:r>
        <w:rPr>
          <w:color w:val="000000"/>
        </w:rPr>
        <w:t>    </w:t>
      </w:r>
      <w:r>
        <w:rPr>
          <w:rFonts w:ascii="Times New Roman;serif" w:hAnsi="Times New Roman;serif"/>
          <w:b w:val="false"/>
          <w:color w:val="000000"/>
          <w:sz w:val="22"/>
        </w:rPr>
        <w:t>Disclosure    </w:t>
      </w:r>
      <w:hyperlink w:anchor="i1af95870ab1e4d90b56c2d32f098e44a_48">
        <w:r>
          <w:rPr>
            <w:rStyle w:val="InternetLink"/>
            <w:rFonts w:ascii="Times New Roman;serif" w:hAnsi="Times New Roman;serif"/>
            <w:b w:val="false"/>
            <w:strike w:val="false"/>
            <w:dstrike w:val="false"/>
            <w:color w:val="000000"/>
            <w:sz w:val="22"/>
            <w:u w:val="none"/>
            <w:effect w:val="none"/>
          </w:rPr>
          <w:t>103</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5.16</w:t>
      </w:r>
      <w:r>
        <w:rPr>
          <w:color w:val="000000"/>
        </w:rPr>
        <w:t>    </w:t>
      </w:r>
      <w:r>
        <w:rPr>
          <w:rFonts w:ascii="Times New Roman;serif" w:hAnsi="Times New Roman;serif"/>
          <w:b w:val="false"/>
          <w:color w:val="000000"/>
          <w:sz w:val="22"/>
        </w:rPr>
        <w:t>Compliance with Laws    </w:t>
      </w:r>
      <w:hyperlink w:anchor="i1af95870ab1e4d90b56c2d32f098e44a_48">
        <w:r>
          <w:rPr>
            <w:rStyle w:val="InternetLink"/>
            <w:rFonts w:ascii="Times New Roman;serif" w:hAnsi="Times New Roman;serif"/>
            <w:b w:val="false"/>
            <w:strike w:val="false"/>
            <w:dstrike w:val="false"/>
            <w:color w:val="000000"/>
            <w:sz w:val="22"/>
            <w:u w:val="none"/>
            <w:effect w:val="none"/>
          </w:rPr>
          <w:t>103</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5.17</w:t>
      </w:r>
      <w:r>
        <w:rPr>
          <w:color w:val="000000"/>
        </w:rPr>
        <w:t>    </w:t>
      </w:r>
      <w:r>
        <w:rPr>
          <w:rFonts w:ascii="Times New Roman;serif" w:hAnsi="Times New Roman;serif"/>
          <w:b w:val="false"/>
          <w:color w:val="000000"/>
          <w:sz w:val="22"/>
        </w:rPr>
        <w:t>Solvency    </w:t>
      </w:r>
      <w:hyperlink w:anchor="i1af95870ab1e4d90b56c2d32f098e44a_48">
        <w:r>
          <w:rPr>
            <w:rStyle w:val="InternetLink"/>
            <w:rFonts w:ascii="Times New Roman;serif" w:hAnsi="Times New Roman;serif"/>
            <w:b w:val="false"/>
            <w:strike w:val="false"/>
            <w:dstrike w:val="false"/>
            <w:color w:val="000000"/>
            <w:sz w:val="22"/>
            <w:u w:val="none"/>
            <w:effect w:val="none"/>
          </w:rPr>
          <w:t>103</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5.18</w:t>
      </w:r>
      <w:r>
        <w:rPr>
          <w:color w:val="000000"/>
        </w:rPr>
        <w:t>    </w:t>
      </w:r>
      <w:r>
        <w:rPr>
          <w:rFonts w:ascii="Times New Roman;serif" w:hAnsi="Times New Roman;serif"/>
          <w:b w:val="false"/>
          <w:color w:val="000000"/>
          <w:sz w:val="22"/>
        </w:rPr>
        <w:t>Casualty, Etc    </w:t>
      </w:r>
      <w:hyperlink w:anchor="i1af95870ab1e4d90b56c2d32f098e44a_48">
        <w:r>
          <w:rPr>
            <w:rStyle w:val="InternetLink"/>
            <w:rFonts w:ascii="Times New Roman;serif" w:hAnsi="Times New Roman;serif"/>
            <w:b w:val="false"/>
            <w:strike w:val="false"/>
            <w:dstrike w:val="false"/>
            <w:color w:val="000000"/>
            <w:sz w:val="22"/>
            <w:u w:val="none"/>
            <w:effect w:val="none"/>
          </w:rPr>
          <w:t>103</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5.19</w:t>
      </w:r>
      <w:r>
        <w:rPr>
          <w:color w:val="000000"/>
        </w:rPr>
        <w:t>    </w:t>
      </w:r>
      <w:r>
        <w:rPr>
          <w:rFonts w:ascii="Times New Roman;serif" w:hAnsi="Times New Roman;serif"/>
          <w:b w:val="false"/>
          <w:color w:val="000000"/>
          <w:sz w:val="22"/>
        </w:rPr>
        <w:t>Sanctions Concerns and Anti-Corruption Laws    </w:t>
      </w:r>
      <w:hyperlink w:anchor="i1af95870ab1e4d90b56c2d32f098e44a_48">
        <w:r>
          <w:rPr>
            <w:rStyle w:val="InternetLink"/>
            <w:rFonts w:ascii="Times New Roman;serif" w:hAnsi="Times New Roman;serif"/>
            <w:b w:val="false"/>
            <w:strike w:val="false"/>
            <w:dstrike w:val="false"/>
            <w:color w:val="000000"/>
            <w:sz w:val="22"/>
            <w:u w:val="none"/>
            <w:effect w:val="none"/>
          </w:rPr>
          <w:t>103</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5.20</w:t>
      </w:r>
      <w:r>
        <w:rPr>
          <w:color w:val="000000"/>
        </w:rPr>
        <w:t>    </w:t>
      </w:r>
      <w:r>
        <w:rPr>
          <w:rFonts w:ascii="Times New Roman;serif" w:hAnsi="Times New Roman;serif"/>
          <w:b w:val="false"/>
          <w:color w:val="000000"/>
          <w:sz w:val="22"/>
        </w:rPr>
        <w:t>Responsible Officers    </w:t>
      </w:r>
      <w:hyperlink w:anchor="i1af95870ab1e4d90b56c2d32f098e44a_48">
        <w:r>
          <w:rPr>
            <w:rStyle w:val="InternetLink"/>
            <w:rFonts w:ascii="Times New Roman;serif" w:hAnsi="Times New Roman;serif"/>
            <w:b w:val="false"/>
            <w:strike w:val="false"/>
            <w:dstrike w:val="false"/>
            <w:color w:val="000000"/>
            <w:sz w:val="22"/>
            <w:u w:val="none"/>
            <w:effect w:val="none"/>
          </w:rPr>
          <w:t>104</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5.21</w:t>
      </w:r>
      <w:r>
        <w:rPr>
          <w:color w:val="000000"/>
        </w:rPr>
        <w:t>    </w:t>
      </w:r>
      <w:r>
        <w:rPr>
          <w:rFonts w:ascii="Times New Roman;serif" w:hAnsi="Times New Roman;serif"/>
          <w:b w:val="false"/>
          <w:color w:val="000000"/>
          <w:sz w:val="22"/>
        </w:rPr>
        <w:t>Subsidiaries; Equity Interests; Loan Parties    </w:t>
      </w:r>
      <w:hyperlink w:anchor="i1af95870ab1e4d90b56c2d32f098e44a_48">
        <w:r>
          <w:rPr>
            <w:rStyle w:val="InternetLink"/>
            <w:rFonts w:ascii="Times New Roman;serif" w:hAnsi="Times New Roman;serif"/>
            <w:b w:val="false"/>
            <w:strike w:val="false"/>
            <w:dstrike w:val="false"/>
            <w:color w:val="000000"/>
            <w:sz w:val="22"/>
            <w:u w:val="none"/>
            <w:effect w:val="none"/>
          </w:rPr>
          <w:t>104</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5.22</w:t>
      </w:r>
      <w:r>
        <w:rPr>
          <w:color w:val="000000"/>
        </w:rPr>
        <w:t>    </w:t>
      </w:r>
      <w:r>
        <w:rPr>
          <w:rFonts w:ascii="Times New Roman;serif" w:hAnsi="Times New Roman;serif"/>
          <w:b w:val="false"/>
          <w:color w:val="000000"/>
          <w:sz w:val="22"/>
        </w:rPr>
        <w:t>Affected Financial Institutions    </w:t>
      </w:r>
      <w:hyperlink w:anchor="i1af95870ab1e4d90b56c2d32f098e44a_48">
        <w:r>
          <w:rPr>
            <w:rStyle w:val="InternetLink"/>
            <w:rFonts w:ascii="Times New Roman;serif" w:hAnsi="Times New Roman;serif"/>
            <w:b w:val="false"/>
            <w:strike w:val="false"/>
            <w:dstrike w:val="false"/>
            <w:color w:val="000000"/>
            <w:sz w:val="22"/>
            <w:u w:val="none"/>
            <w:effect w:val="none"/>
          </w:rPr>
          <w:t>105</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5.23</w:t>
      </w:r>
      <w:r>
        <w:rPr>
          <w:color w:val="000000"/>
        </w:rPr>
        <w:t>    </w:t>
      </w:r>
      <w:r>
        <w:rPr>
          <w:rFonts w:ascii="Times New Roman;serif" w:hAnsi="Times New Roman;serif"/>
          <w:b w:val="false"/>
          <w:color w:val="000000"/>
          <w:sz w:val="22"/>
        </w:rPr>
        <w:t>Covered Entities    </w:t>
      </w:r>
      <w:hyperlink w:anchor="i1af95870ab1e4d90b56c2d32f098e44a_48">
        <w:r>
          <w:rPr>
            <w:rStyle w:val="InternetLink"/>
            <w:rFonts w:ascii="Times New Roman;serif" w:hAnsi="Times New Roman;serif"/>
            <w:b w:val="false"/>
            <w:strike w:val="false"/>
            <w:dstrike w:val="false"/>
            <w:color w:val="000000"/>
            <w:sz w:val="22"/>
            <w:u w:val="none"/>
            <w:effect w:val="none"/>
          </w:rPr>
          <w:t>105</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5.24</w:t>
      </w:r>
      <w:r>
        <w:rPr>
          <w:color w:val="000000"/>
        </w:rPr>
        <w:t>    </w:t>
      </w:r>
      <w:r>
        <w:rPr>
          <w:rFonts w:ascii="Times New Roman;serif" w:hAnsi="Times New Roman;serif"/>
          <w:b w:val="false"/>
          <w:color w:val="000000"/>
          <w:sz w:val="22"/>
        </w:rPr>
        <w:t>Beneficial Ownership Certification    </w:t>
      </w:r>
      <w:hyperlink w:anchor="i1af95870ab1e4d90b56c2d32f098e44a_48">
        <w:r>
          <w:rPr>
            <w:rStyle w:val="InternetLink"/>
            <w:rFonts w:ascii="Times New Roman;serif" w:hAnsi="Times New Roman;serif"/>
            <w:b w:val="false"/>
            <w:strike w:val="false"/>
            <w:dstrike w:val="false"/>
            <w:color w:val="000000"/>
            <w:sz w:val="22"/>
            <w:u w:val="none"/>
            <w:effect w:val="none"/>
          </w:rPr>
          <w:t>105</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5.25</w:t>
      </w:r>
      <w:r>
        <w:rPr>
          <w:color w:val="000000"/>
        </w:rPr>
        <w:t>    </w:t>
      </w:r>
      <w:r>
        <w:rPr>
          <w:rFonts w:ascii="Times New Roman;serif" w:hAnsi="Times New Roman;serif"/>
          <w:b w:val="false"/>
          <w:color w:val="000000"/>
          <w:sz w:val="22"/>
        </w:rPr>
        <w:t>Intellectual Property; Licenses, Etc    </w:t>
      </w:r>
      <w:hyperlink w:anchor="i1af95870ab1e4d90b56c2d32f098e44a_48">
        <w:r>
          <w:rPr>
            <w:rStyle w:val="InternetLink"/>
            <w:rFonts w:ascii="Times New Roman;serif" w:hAnsi="Times New Roman;serif"/>
            <w:b w:val="false"/>
            <w:strike w:val="false"/>
            <w:dstrike w:val="false"/>
            <w:color w:val="000000"/>
            <w:sz w:val="22"/>
            <w:u w:val="none"/>
            <w:effect w:val="none"/>
          </w:rPr>
          <w:t>105</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5.26</w:t>
      </w:r>
      <w:r>
        <w:rPr>
          <w:color w:val="000000"/>
        </w:rPr>
        <w:t>    </w:t>
      </w:r>
      <w:r>
        <w:rPr>
          <w:rFonts w:ascii="Times New Roman;serif" w:hAnsi="Times New Roman;serif"/>
          <w:b w:val="false"/>
          <w:color w:val="000000"/>
          <w:sz w:val="22"/>
        </w:rPr>
        <w:t>[Reserved]    </w:t>
      </w:r>
      <w:hyperlink w:anchor="i1af95870ab1e4d90b56c2d32f098e44a_48">
        <w:r>
          <w:rPr>
            <w:rStyle w:val="InternetLink"/>
            <w:rFonts w:ascii="Times New Roman;serif" w:hAnsi="Times New Roman;serif"/>
            <w:b w:val="false"/>
            <w:strike w:val="false"/>
            <w:dstrike w:val="false"/>
            <w:color w:val="000000"/>
            <w:sz w:val="22"/>
            <w:u w:val="none"/>
            <w:effect w:val="none"/>
          </w:rPr>
          <w:t>106</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5.27</w:t>
      </w:r>
      <w:r>
        <w:rPr>
          <w:color w:val="000000"/>
        </w:rPr>
        <w:t>    </w:t>
      </w:r>
      <w:r>
        <w:rPr>
          <w:rFonts w:ascii="Times New Roman;serif" w:hAnsi="Times New Roman;serif"/>
          <w:b w:val="false"/>
          <w:color w:val="000000"/>
          <w:sz w:val="22"/>
        </w:rPr>
        <w:t>Representations as to Foreign Obligors    </w:t>
      </w:r>
      <w:hyperlink w:anchor="i1af95870ab1e4d90b56c2d32f098e44a_48">
        <w:r>
          <w:rPr>
            <w:rStyle w:val="InternetLink"/>
            <w:rFonts w:ascii="Times New Roman;serif" w:hAnsi="Times New Roman;serif"/>
            <w:b w:val="false"/>
            <w:strike w:val="false"/>
            <w:dstrike w:val="false"/>
            <w:color w:val="000000"/>
            <w:sz w:val="22"/>
            <w:u w:val="none"/>
            <w:effect w:val="none"/>
          </w:rPr>
          <w:t>106</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5.28</w:t>
      </w:r>
      <w:r>
        <w:rPr>
          <w:color w:val="000000"/>
        </w:rPr>
        <w:t>    </w:t>
      </w:r>
      <w:r>
        <w:rPr>
          <w:rFonts w:ascii="Times New Roman;serif" w:hAnsi="Times New Roman;serif"/>
          <w:b w:val="false"/>
          <w:color w:val="000000"/>
          <w:sz w:val="22"/>
        </w:rPr>
        <w:t>Outbound Investment Rules    </w:t>
      </w:r>
      <w:hyperlink w:anchor="i1af95870ab1e4d90b56c2d32f098e44a_48">
        <w:r>
          <w:rPr>
            <w:rStyle w:val="InternetLink"/>
            <w:rFonts w:ascii="Times New Roman;serif" w:hAnsi="Times New Roman;serif"/>
            <w:b w:val="false"/>
            <w:strike w:val="false"/>
            <w:dstrike w:val="false"/>
            <w:color w:val="000000"/>
            <w:sz w:val="22"/>
            <w:u w:val="none"/>
            <w:effect w:val="none"/>
          </w:rPr>
          <w:t>107</w:t>
        </w:r>
      </w:hyperlink>
    </w:p>
    <w:p>
      <w:pPr>
        <w:pStyle w:val="TextBody"/>
        <w:bidi w:val="0"/>
        <w:spacing w:lineRule="auto" w:line="288" w:before="120" w:after="120"/>
        <w:ind w:left="0" w:right="0" w:hanging="720"/>
        <w:jc w:val="left"/>
        <w:rPr/>
      </w:pPr>
      <w:r>
        <w:rPr>
          <w:rFonts w:ascii="Times New Roman;serif" w:hAnsi="Times New Roman;serif"/>
          <w:b w:val="false"/>
          <w:color w:val="000000"/>
          <w:sz w:val="22"/>
        </w:rPr>
        <w:t>ARTICLE VI AFFIRMATIVE COVENANTS    </w:t>
      </w:r>
      <w:hyperlink w:anchor="i1af95870ab1e4d90b56c2d32f098e44a_48">
        <w:r>
          <w:rPr>
            <w:rStyle w:val="InternetLink"/>
            <w:rFonts w:ascii="Times New Roman;serif" w:hAnsi="Times New Roman;serif"/>
            <w:b w:val="false"/>
            <w:strike w:val="false"/>
            <w:dstrike w:val="false"/>
            <w:color w:val="000000"/>
            <w:sz w:val="22"/>
            <w:u w:val="none"/>
            <w:effect w:val="none"/>
          </w:rPr>
          <w:t>107</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6.01</w:t>
      </w:r>
      <w:r>
        <w:rPr>
          <w:color w:val="000000"/>
        </w:rPr>
        <w:t>    </w:t>
      </w:r>
      <w:r>
        <w:rPr>
          <w:rFonts w:ascii="Times New Roman;serif" w:hAnsi="Times New Roman;serif"/>
          <w:b w:val="false"/>
          <w:color w:val="000000"/>
          <w:sz w:val="22"/>
        </w:rPr>
        <w:t>Financial Statements    </w:t>
      </w:r>
      <w:hyperlink w:anchor="i1af95870ab1e4d90b56c2d32f098e44a_48">
        <w:r>
          <w:rPr>
            <w:rStyle w:val="InternetLink"/>
            <w:rFonts w:ascii="Times New Roman;serif" w:hAnsi="Times New Roman;serif"/>
            <w:b w:val="false"/>
            <w:strike w:val="false"/>
            <w:dstrike w:val="false"/>
            <w:color w:val="000000"/>
            <w:sz w:val="22"/>
            <w:u w:val="none"/>
            <w:effect w:val="none"/>
          </w:rPr>
          <w:t>107</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6.02</w:t>
      </w:r>
      <w:r>
        <w:rPr>
          <w:color w:val="000000"/>
        </w:rPr>
        <w:t>    </w:t>
      </w:r>
      <w:r>
        <w:rPr>
          <w:rFonts w:ascii="Times New Roman;serif" w:hAnsi="Times New Roman;serif"/>
          <w:b w:val="false"/>
          <w:color w:val="000000"/>
          <w:sz w:val="22"/>
        </w:rPr>
        <w:t>Certificates; Other Information    </w:t>
      </w:r>
      <w:hyperlink w:anchor="i1af95870ab1e4d90b56c2d32f098e44a_48">
        <w:r>
          <w:rPr>
            <w:rStyle w:val="InternetLink"/>
            <w:rFonts w:ascii="Times New Roman;serif" w:hAnsi="Times New Roman;serif"/>
            <w:b w:val="false"/>
            <w:strike w:val="false"/>
            <w:dstrike w:val="false"/>
            <w:color w:val="000000"/>
            <w:sz w:val="22"/>
            <w:u w:val="none"/>
            <w:effect w:val="none"/>
          </w:rPr>
          <w:t>108</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6.03</w:t>
      </w:r>
      <w:r>
        <w:rPr>
          <w:color w:val="000000"/>
        </w:rPr>
        <w:t>    </w:t>
      </w:r>
      <w:r>
        <w:rPr>
          <w:rFonts w:ascii="Times New Roman;serif" w:hAnsi="Times New Roman;serif"/>
          <w:b w:val="false"/>
          <w:color w:val="000000"/>
          <w:sz w:val="22"/>
        </w:rPr>
        <w:t>Notices    </w:t>
      </w:r>
      <w:hyperlink w:anchor="i1af95870ab1e4d90b56c2d32f098e44a_48">
        <w:r>
          <w:rPr>
            <w:rStyle w:val="InternetLink"/>
            <w:rFonts w:ascii="Times New Roman;serif" w:hAnsi="Times New Roman;serif"/>
            <w:b w:val="false"/>
            <w:strike w:val="false"/>
            <w:dstrike w:val="false"/>
            <w:color w:val="000000"/>
            <w:sz w:val="22"/>
            <w:u w:val="none"/>
            <w:effect w:val="none"/>
          </w:rPr>
          <w:t>111</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6.04</w:t>
      </w:r>
      <w:r>
        <w:rPr>
          <w:color w:val="000000"/>
        </w:rPr>
        <w:t>    </w:t>
      </w:r>
      <w:r>
        <w:rPr>
          <w:rFonts w:ascii="Times New Roman;serif" w:hAnsi="Times New Roman;serif"/>
          <w:b w:val="false"/>
          <w:color w:val="000000"/>
          <w:sz w:val="22"/>
        </w:rPr>
        <w:t>Payment of Obligations    </w:t>
      </w:r>
      <w:hyperlink w:anchor="i1af95870ab1e4d90b56c2d32f098e44a_48">
        <w:r>
          <w:rPr>
            <w:rStyle w:val="InternetLink"/>
            <w:rFonts w:ascii="Times New Roman;serif" w:hAnsi="Times New Roman;serif"/>
            <w:b w:val="false"/>
            <w:strike w:val="false"/>
            <w:dstrike w:val="false"/>
            <w:color w:val="000000"/>
            <w:sz w:val="22"/>
            <w:u w:val="none"/>
            <w:effect w:val="none"/>
          </w:rPr>
          <w:t>112</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6.05</w:t>
      </w:r>
      <w:r>
        <w:rPr>
          <w:color w:val="000000"/>
        </w:rPr>
        <w:t>    </w:t>
      </w:r>
      <w:r>
        <w:rPr>
          <w:rFonts w:ascii="Times New Roman;serif" w:hAnsi="Times New Roman;serif"/>
          <w:b w:val="false"/>
          <w:color w:val="000000"/>
          <w:sz w:val="22"/>
        </w:rPr>
        <w:t>Preservation of Existence, Etc    </w:t>
      </w:r>
      <w:hyperlink w:anchor="i1af95870ab1e4d90b56c2d32f098e44a_48">
        <w:r>
          <w:rPr>
            <w:rStyle w:val="InternetLink"/>
            <w:rFonts w:ascii="Times New Roman;serif" w:hAnsi="Times New Roman;serif"/>
            <w:b w:val="false"/>
            <w:strike w:val="false"/>
            <w:dstrike w:val="false"/>
            <w:color w:val="000000"/>
            <w:sz w:val="22"/>
            <w:u w:val="none"/>
            <w:effect w:val="none"/>
          </w:rPr>
          <w:t>112</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6.06</w:t>
      </w:r>
      <w:r>
        <w:rPr>
          <w:color w:val="000000"/>
        </w:rPr>
        <w:t>    </w:t>
      </w:r>
      <w:r>
        <w:rPr>
          <w:rFonts w:ascii="Times New Roman;serif" w:hAnsi="Times New Roman;serif"/>
          <w:b w:val="false"/>
          <w:color w:val="000000"/>
          <w:sz w:val="22"/>
        </w:rPr>
        <w:t>Maintenance of Properties    </w:t>
      </w:r>
      <w:hyperlink w:anchor="i1af95870ab1e4d90b56c2d32f098e44a_48">
        <w:r>
          <w:rPr>
            <w:rStyle w:val="InternetLink"/>
            <w:rFonts w:ascii="Times New Roman;serif" w:hAnsi="Times New Roman;serif"/>
            <w:b w:val="false"/>
            <w:strike w:val="false"/>
            <w:dstrike w:val="false"/>
            <w:color w:val="000000"/>
            <w:sz w:val="22"/>
            <w:u w:val="none"/>
            <w:effect w:val="none"/>
          </w:rPr>
          <w:t>112</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6.07</w:t>
      </w:r>
      <w:r>
        <w:rPr>
          <w:color w:val="000000"/>
        </w:rPr>
        <w:t>    </w:t>
      </w:r>
      <w:r>
        <w:rPr>
          <w:rFonts w:ascii="Times New Roman;serif" w:hAnsi="Times New Roman;serif"/>
          <w:b w:val="false"/>
          <w:color w:val="000000"/>
          <w:sz w:val="22"/>
        </w:rPr>
        <w:t>Maintenance of Insurance    </w:t>
      </w:r>
      <w:hyperlink w:anchor="i1af95870ab1e4d90b56c2d32f098e44a_48">
        <w:r>
          <w:rPr>
            <w:rStyle w:val="InternetLink"/>
            <w:rFonts w:ascii="Times New Roman;serif" w:hAnsi="Times New Roman;serif"/>
            <w:b w:val="false"/>
            <w:strike w:val="false"/>
            <w:dstrike w:val="false"/>
            <w:color w:val="000000"/>
            <w:sz w:val="22"/>
            <w:u w:val="none"/>
            <w:effect w:val="none"/>
          </w:rPr>
          <w:t>112</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6.08</w:t>
      </w:r>
      <w:r>
        <w:rPr>
          <w:color w:val="000000"/>
        </w:rPr>
        <w:t>    </w:t>
      </w:r>
      <w:r>
        <w:rPr>
          <w:rFonts w:ascii="Times New Roman;serif" w:hAnsi="Times New Roman;serif"/>
          <w:b w:val="false"/>
          <w:color w:val="000000"/>
          <w:sz w:val="22"/>
        </w:rPr>
        <w:t>Compliance with Laws    </w:t>
      </w:r>
      <w:hyperlink w:anchor="i1af95870ab1e4d90b56c2d32f098e44a_48">
        <w:r>
          <w:rPr>
            <w:rStyle w:val="InternetLink"/>
            <w:rFonts w:ascii="Times New Roman;serif" w:hAnsi="Times New Roman;serif"/>
            <w:b w:val="false"/>
            <w:strike w:val="false"/>
            <w:dstrike w:val="false"/>
            <w:color w:val="000000"/>
            <w:sz w:val="22"/>
            <w:u w:val="none"/>
            <w:effect w:val="none"/>
          </w:rPr>
          <w:t>113</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6.09</w:t>
      </w:r>
      <w:r>
        <w:rPr>
          <w:color w:val="000000"/>
        </w:rPr>
        <w:t>    </w:t>
      </w:r>
      <w:r>
        <w:rPr>
          <w:rFonts w:ascii="Times New Roman;serif" w:hAnsi="Times New Roman;serif"/>
          <w:b w:val="false"/>
          <w:color w:val="000000"/>
          <w:sz w:val="22"/>
        </w:rPr>
        <w:t>Books and Records    </w:t>
      </w:r>
      <w:hyperlink w:anchor="i1af95870ab1e4d90b56c2d32f098e44a_48">
        <w:r>
          <w:rPr>
            <w:rStyle w:val="InternetLink"/>
            <w:rFonts w:ascii="Times New Roman;serif" w:hAnsi="Times New Roman;serif"/>
            <w:b w:val="false"/>
            <w:strike w:val="false"/>
            <w:dstrike w:val="false"/>
            <w:color w:val="000000"/>
            <w:sz w:val="22"/>
            <w:u w:val="none"/>
            <w:effect w:val="none"/>
          </w:rPr>
          <w:t>113</w:t>
        </w:r>
      </w:hyperlink>
    </w:p>
    <w:p>
      <w:pPr>
        <w:pStyle w:val="TextBody"/>
        <w:bidi w:val="0"/>
        <w:spacing w:lineRule="auto" w:line="288"/>
        <w:ind w:left="0" w:right="0" w:hanging="720"/>
        <w:jc w:val="left"/>
        <w:rPr/>
      </w:pPr>
      <w:r>
        <w:rPr>
          <w:rFonts w:ascii="Times New Roman;serif" w:hAnsi="Times New Roman;serif"/>
          <w:b w:val="false"/>
          <w:color w:val="000000"/>
          <w:sz w:val="22"/>
        </w:rPr>
        <w:t>6.10</w:t>
      </w:r>
      <w:r>
        <w:rPr>
          <w:color w:val="000000"/>
        </w:rPr>
        <w:t>    </w:t>
      </w:r>
      <w:r>
        <w:rPr>
          <w:rFonts w:ascii="Times New Roman;serif" w:hAnsi="Times New Roman;serif"/>
          <w:b w:val="false"/>
          <w:color w:val="000000"/>
          <w:sz w:val="22"/>
        </w:rPr>
        <w:t>Inspection Rights    </w:t>
      </w:r>
      <w:hyperlink w:anchor="i1af95870ab1e4d90b56c2d32f098e44a_48">
        <w:r>
          <w:rPr>
            <w:rStyle w:val="InternetLink"/>
            <w:rFonts w:ascii="Times New Roman;serif" w:hAnsi="Times New Roman;serif"/>
            <w:b w:val="false"/>
            <w:strike w:val="false"/>
            <w:dstrike w:val="false"/>
            <w:color w:val="000000"/>
            <w:sz w:val="22"/>
            <w:u w:val="none"/>
            <w:effect w:val="none"/>
          </w:rPr>
          <w:t>113</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02285"/>
                <wp:effectExtent l="0" t="0" r="0" b="0"/>
                <wp:wrapNone/>
                <wp:docPr id="31" name="Frame31"/>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iii</w:t>
                            </w:r>
                          </w:p>
                          <w:p>
                            <w:pPr>
                              <w:pStyle w:val="TextBody"/>
                              <w:bidi w:val="0"/>
                              <w:spacing w:lineRule="atLeast" w:line="180" w:before="0" w:after="0"/>
                              <w:jc w:val="left"/>
                              <w:rPr>
                                <w:rFonts w:ascii="Arial;sans-serif" w:hAnsi="Arial;sans-serif"/>
                                <w:b w:val="false"/>
                                <w:color w:val="000000"/>
                                <w:sz w:val="16"/>
                              </w:rPr>
                            </w:pPr>
                            <w:r>
                              <w:rPr>
                                <w:rFonts w:ascii="Arial;sans-serif" w:hAnsi="Arial;sans-serif"/>
                                <w:b w:val="false"/>
                                <w:color w:val="000000"/>
                                <w:sz w:val="16"/>
                              </w:rPr>
                              <w:t>4927-4929-5287, v.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iii</w:t>
                      </w:r>
                    </w:p>
                    <w:p>
                      <w:pPr>
                        <w:pStyle w:val="TextBody"/>
                        <w:bidi w:val="0"/>
                        <w:spacing w:lineRule="atLeast" w:line="180" w:before="0" w:after="0"/>
                        <w:jc w:val="left"/>
                        <w:rPr>
                          <w:rFonts w:ascii="Arial;sans-serif" w:hAnsi="Arial;sans-serif"/>
                          <w:b w:val="false"/>
                          <w:color w:val="000000"/>
                          <w:sz w:val="16"/>
                        </w:rPr>
                      </w:pPr>
                      <w:r>
                        <w:rPr>
                          <w:rFonts w:ascii="Arial;sans-serif" w:hAnsi="Arial;sans-serif"/>
                          <w:b w:val="false"/>
                          <w:color w:val="000000"/>
                          <w:sz w:val="16"/>
                        </w:rPr>
                        <w:t>4927-4929-5287, v. 14</w:t>
                      </w:r>
                    </w:p>
                  </w:txbxContent>
                </v:textbox>
                <w10:wrap type="none"/>
              </v:rect>
            </w:pict>
          </mc:Fallback>
        </mc:AlternateContent>
      </w:r>
    </w:p>
    <w:p>
      <w:pPr>
        <w:pStyle w:val="TextBody"/>
        <w:bidi w:val="0"/>
        <w:spacing w:lineRule="auto" w:line="288" w:before="0" w:after="0"/>
        <w:ind w:left="0" w:right="0" w:hanging="720"/>
        <w:jc w:val="left"/>
        <w:rPr/>
      </w:pPr>
      <w:r>
        <w:rPr>
          <w:rFonts w:ascii="Times New Roman;serif" w:hAnsi="Times New Roman;serif"/>
          <w:b w:val="false"/>
          <w:color w:val="000000"/>
          <w:sz w:val="22"/>
        </w:rPr>
        <w:t>6.11</w:t>
      </w:r>
      <w:r>
        <w:rPr>
          <w:color w:val="000000"/>
        </w:rPr>
        <w:t>    </w:t>
      </w:r>
      <w:r>
        <w:rPr>
          <w:rFonts w:ascii="Times New Roman;serif" w:hAnsi="Times New Roman;serif"/>
          <w:b w:val="false"/>
          <w:color w:val="000000"/>
          <w:sz w:val="22"/>
        </w:rPr>
        <w:t>Use of Proceeds    </w:t>
      </w:r>
      <w:hyperlink w:anchor="i1af95870ab1e4d90b56c2d32f098e44a_48">
        <w:r>
          <w:rPr>
            <w:rStyle w:val="InternetLink"/>
            <w:rFonts w:ascii="Times New Roman;serif" w:hAnsi="Times New Roman;serif"/>
            <w:b w:val="false"/>
            <w:strike w:val="false"/>
            <w:dstrike w:val="false"/>
            <w:color w:val="000000"/>
            <w:sz w:val="22"/>
            <w:u w:val="none"/>
            <w:effect w:val="none"/>
          </w:rPr>
          <w:t>113</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6.12</w:t>
      </w:r>
      <w:r>
        <w:rPr>
          <w:color w:val="000000"/>
        </w:rPr>
        <w:t>    </w:t>
      </w:r>
      <w:r>
        <w:rPr>
          <w:rFonts w:ascii="Times New Roman;serif" w:hAnsi="Times New Roman;serif"/>
          <w:b w:val="false"/>
          <w:color w:val="000000"/>
          <w:sz w:val="22"/>
        </w:rPr>
        <w:t>[Reserved]    </w:t>
      </w:r>
      <w:hyperlink w:anchor="i1af95870ab1e4d90b56c2d32f098e44a_48">
        <w:r>
          <w:rPr>
            <w:rStyle w:val="InternetLink"/>
            <w:rFonts w:ascii="Times New Roman;serif" w:hAnsi="Times New Roman;serif"/>
            <w:b w:val="false"/>
            <w:strike w:val="false"/>
            <w:dstrike w:val="false"/>
            <w:color w:val="000000"/>
            <w:sz w:val="22"/>
            <w:u w:val="none"/>
            <w:effect w:val="none"/>
          </w:rPr>
          <w:t>114</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6.13</w:t>
      </w:r>
      <w:r>
        <w:rPr>
          <w:color w:val="000000"/>
        </w:rPr>
        <w:t>    </w:t>
      </w:r>
      <w:r>
        <w:rPr>
          <w:rFonts w:ascii="Times New Roman;serif" w:hAnsi="Times New Roman;serif"/>
          <w:b w:val="false"/>
          <w:color w:val="000000"/>
          <w:sz w:val="22"/>
        </w:rPr>
        <w:t>Covenant to Guarantee Obligations    </w:t>
      </w:r>
      <w:hyperlink w:anchor="i1af95870ab1e4d90b56c2d32f098e44a_48">
        <w:r>
          <w:rPr>
            <w:rStyle w:val="InternetLink"/>
            <w:rFonts w:ascii="Times New Roman;serif" w:hAnsi="Times New Roman;serif"/>
            <w:b w:val="false"/>
            <w:strike w:val="false"/>
            <w:dstrike w:val="false"/>
            <w:color w:val="000000"/>
            <w:sz w:val="22"/>
            <w:u w:val="none"/>
            <w:effect w:val="none"/>
          </w:rPr>
          <w:t>114</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6.14</w:t>
      </w:r>
      <w:r>
        <w:rPr>
          <w:color w:val="000000"/>
        </w:rPr>
        <w:t>    </w:t>
      </w:r>
      <w:r>
        <w:rPr>
          <w:rFonts w:ascii="Times New Roman;serif" w:hAnsi="Times New Roman;serif"/>
          <w:b w:val="false"/>
          <w:color w:val="000000"/>
          <w:sz w:val="22"/>
        </w:rPr>
        <w:t>Compliance with Environmental Laws    </w:t>
      </w:r>
      <w:hyperlink w:anchor="i1af95870ab1e4d90b56c2d32f098e44a_48">
        <w:r>
          <w:rPr>
            <w:rStyle w:val="InternetLink"/>
            <w:rFonts w:ascii="Times New Roman;serif" w:hAnsi="Times New Roman;serif"/>
            <w:b w:val="false"/>
            <w:strike w:val="false"/>
            <w:dstrike w:val="false"/>
            <w:color w:val="000000"/>
            <w:sz w:val="22"/>
            <w:u w:val="none"/>
            <w:effect w:val="none"/>
          </w:rPr>
          <w:t>114</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6.15</w:t>
      </w:r>
      <w:r>
        <w:rPr>
          <w:color w:val="000000"/>
        </w:rPr>
        <w:t>    </w:t>
      </w:r>
      <w:r>
        <w:rPr>
          <w:rFonts w:ascii="Times New Roman;serif" w:hAnsi="Times New Roman;serif"/>
          <w:b w:val="false"/>
          <w:color w:val="000000"/>
          <w:sz w:val="22"/>
        </w:rPr>
        <w:t>Anti-Corruption Laws; Anti-Money Laundering Laws; Sanctions    </w:t>
      </w:r>
      <w:hyperlink w:anchor="i1af95870ab1e4d90b56c2d32f098e44a_48">
        <w:r>
          <w:rPr>
            <w:rStyle w:val="InternetLink"/>
            <w:rFonts w:ascii="Times New Roman;serif" w:hAnsi="Times New Roman;serif"/>
            <w:b w:val="false"/>
            <w:strike w:val="false"/>
            <w:dstrike w:val="false"/>
            <w:color w:val="000000"/>
            <w:sz w:val="22"/>
            <w:u w:val="none"/>
            <w:effect w:val="none"/>
          </w:rPr>
          <w:t>114</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6.16</w:t>
      </w:r>
      <w:r>
        <w:rPr>
          <w:color w:val="000000"/>
        </w:rPr>
        <w:t>    </w:t>
      </w:r>
      <w:r>
        <w:rPr>
          <w:rFonts w:ascii="Times New Roman;serif" w:hAnsi="Times New Roman;serif"/>
          <w:b w:val="false"/>
          <w:color w:val="000000"/>
          <w:sz w:val="22"/>
        </w:rPr>
        <w:t>Approvals and Authorizations    </w:t>
      </w:r>
      <w:hyperlink w:anchor="i1af95870ab1e4d90b56c2d32f098e44a_48">
        <w:r>
          <w:rPr>
            <w:rStyle w:val="InternetLink"/>
            <w:rFonts w:ascii="Times New Roman;serif" w:hAnsi="Times New Roman;serif"/>
            <w:b w:val="false"/>
            <w:strike w:val="false"/>
            <w:dstrike w:val="false"/>
            <w:color w:val="000000"/>
            <w:sz w:val="22"/>
            <w:u w:val="none"/>
            <w:effect w:val="none"/>
          </w:rPr>
          <w:t>114</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6.17</w:t>
      </w:r>
      <w:r>
        <w:rPr>
          <w:color w:val="000000"/>
        </w:rPr>
        <w:t>    </w:t>
      </w:r>
      <w:r>
        <w:rPr>
          <w:rFonts w:ascii="Times New Roman;serif" w:hAnsi="Times New Roman;serif"/>
          <w:b w:val="false"/>
          <w:color w:val="000000"/>
          <w:sz w:val="22"/>
        </w:rPr>
        <w:t>Pari Passu Ranking    </w:t>
      </w:r>
      <w:hyperlink w:anchor="i1af95870ab1e4d90b56c2d32f098e44a_48">
        <w:r>
          <w:rPr>
            <w:rStyle w:val="InternetLink"/>
            <w:rFonts w:ascii="Times New Roman;serif" w:hAnsi="Times New Roman;serif"/>
            <w:b w:val="false"/>
            <w:strike w:val="false"/>
            <w:dstrike w:val="false"/>
            <w:color w:val="000000"/>
            <w:sz w:val="22"/>
            <w:u w:val="none"/>
            <w:effect w:val="none"/>
          </w:rPr>
          <w:t>114</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6.18</w:t>
      </w:r>
      <w:r>
        <w:rPr>
          <w:color w:val="000000"/>
        </w:rPr>
        <w:t>    </w:t>
      </w:r>
      <w:r>
        <w:rPr>
          <w:rFonts w:ascii="Times New Roman;serif" w:hAnsi="Times New Roman;serif"/>
          <w:b w:val="false"/>
          <w:color w:val="000000"/>
          <w:sz w:val="22"/>
        </w:rPr>
        <w:t>Cash Management    </w:t>
      </w:r>
      <w:hyperlink w:anchor="i1af95870ab1e4d90b56c2d32f098e44a_48">
        <w:r>
          <w:rPr>
            <w:rStyle w:val="InternetLink"/>
            <w:rFonts w:ascii="Times New Roman;serif" w:hAnsi="Times New Roman;serif"/>
            <w:b w:val="false"/>
            <w:strike w:val="false"/>
            <w:dstrike w:val="false"/>
            <w:color w:val="000000"/>
            <w:sz w:val="22"/>
            <w:u w:val="none"/>
            <w:effect w:val="none"/>
          </w:rPr>
          <w:t>115</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6.19</w:t>
      </w:r>
      <w:r>
        <w:rPr>
          <w:color w:val="000000"/>
        </w:rPr>
        <w:t>    </w:t>
      </w:r>
      <w:r>
        <w:rPr>
          <w:rFonts w:ascii="Times New Roman;serif" w:hAnsi="Times New Roman;serif"/>
          <w:b w:val="false"/>
          <w:color w:val="000000"/>
          <w:sz w:val="22"/>
        </w:rPr>
        <w:t>Further Assurances    </w:t>
      </w:r>
      <w:hyperlink w:anchor="i1af95870ab1e4d90b56c2d32f098e44a_48">
        <w:r>
          <w:rPr>
            <w:rStyle w:val="InternetLink"/>
            <w:rFonts w:ascii="Times New Roman;serif" w:hAnsi="Times New Roman;serif"/>
            <w:b w:val="false"/>
            <w:strike w:val="false"/>
            <w:dstrike w:val="false"/>
            <w:color w:val="000000"/>
            <w:sz w:val="22"/>
            <w:u w:val="none"/>
            <w:effect w:val="none"/>
          </w:rPr>
          <w:t>115</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6.20</w:t>
      </w:r>
      <w:r>
        <w:rPr>
          <w:color w:val="000000"/>
        </w:rPr>
        <w:t>    </w:t>
      </w:r>
      <w:r>
        <w:rPr>
          <w:rFonts w:ascii="Times New Roman;serif" w:hAnsi="Times New Roman;serif"/>
          <w:b w:val="false"/>
          <w:color w:val="000000"/>
          <w:sz w:val="22"/>
        </w:rPr>
        <w:t>Distributions to the Company    </w:t>
      </w:r>
      <w:hyperlink w:anchor="i1af95870ab1e4d90b56c2d32f098e44a_48">
        <w:r>
          <w:rPr>
            <w:rStyle w:val="InternetLink"/>
            <w:rFonts w:ascii="Times New Roman;serif" w:hAnsi="Times New Roman;serif"/>
            <w:b w:val="false"/>
            <w:strike w:val="false"/>
            <w:dstrike w:val="false"/>
            <w:color w:val="000000"/>
            <w:sz w:val="22"/>
            <w:u w:val="none"/>
            <w:effect w:val="none"/>
          </w:rPr>
          <w:t>115</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6.21</w:t>
      </w:r>
      <w:r>
        <w:rPr>
          <w:color w:val="000000"/>
        </w:rPr>
        <w:t>    </w:t>
      </w:r>
      <w:r>
        <w:rPr>
          <w:rFonts w:ascii="Times New Roman;serif" w:hAnsi="Times New Roman;serif"/>
          <w:b w:val="false"/>
          <w:color w:val="000000"/>
          <w:sz w:val="22"/>
        </w:rPr>
        <w:t>Outbound Investment Rules    </w:t>
      </w:r>
      <w:hyperlink w:anchor="i1af95870ab1e4d90b56c2d32f098e44a_48">
        <w:r>
          <w:rPr>
            <w:rStyle w:val="InternetLink"/>
            <w:rFonts w:ascii="Times New Roman;serif" w:hAnsi="Times New Roman;serif"/>
            <w:b w:val="false"/>
            <w:strike w:val="false"/>
            <w:dstrike w:val="false"/>
            <w:color w:val="000000"/>
            <w:sz w:val="22"/>
            <w:u w:val="none"/>
            <w:effect w:val="none"/>
          </w:rPr>
          <w:t>115</w:t>
        </w:r>
      </w:hyperlink>
    </w:p>
    <w:p>
      <w:pPr>
        <w:pStyle w:val="TextBody"/>
        <w:bidi w:val="0"/>
        <w:spacing w:lineRule="auto" w:line="288" w:before="120" w:after="120"/>
        <w:ind w:left="0" w:right="0" w:hanging="720"/>
        <w:jc w:val="left"/>
        <w:rPr/>
      </w:pPr>
      <w:r>
        <w:rPr>
          <w:rFonts w:ascii="Times New Roman;serif" w:hAnsi="Times New Roman;serif"/>
          <w:b w:val="false"/>
          <w:color w:val="000000"/>
          <w:sz w:val="22"/>
        </w:rPr>
        <w:t>ARTICLE VII NEGATIVE COVENANTS    </w:t>
      </w:r>
      <w:hyperlink w:anchor="i1af95870ab1e4d90b56c2d32f098e44a_48">
        <w:r>
          <w:rPr>
            <w:rStyle w:val="InternetLink"/>
            <w:rFonts w:ascii="Times New Roman;serif" w:hAnsi="Times New Roman;serif"/>
            <w:b w:val="false"/>
            <w:strike w:val="false"/>
            <w:dstrike w:val="false"/>
            <w:color w:val="000000"/>
            <w:sz w:val="22"/>
            <w:u w:val="none"/>
            <w:effect w:val="none"/>
          </w:rPr>
          <w:t>116</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7.01</w:t>
      </w:r>
      <w:r>
        <w:rPr>
          <w:color w:val="000000"/>
        </w:rPr>
        <w:t>    </w:t>
      </w:r>
      <w:r>
        <w:rPr>
          <w:rFonts w:ascii="Times New Roman;serif" w:hAnsi="Times New Roman;serif"/>
          <w:b w:val="false"/>
          <w:color w:val="000000"/>
          <w:sz w:val="22"/>
        </w:rPr>
        <w:t>Liens    </w:t>
      </w:r>
      <w:hyperlink w:anchor="i1af95870ab1e4d90b56c2d32f098e44a_48">
        <w:r>
          <w:rPr>
            <w:rStyle w:val="InternetLink"/>
            <w:rFonts w:ascii="Times New Roman;serif" w:hAnsi="Times New Roman;serif"/>
            <w:b w:val="false"/>
            <w:strike w:val="false"/>
            <w:dstrike w:val="false"/>
            <w:color w:val="000000"/>
            <w:sz w:val="22"/>
            <w:u w:val="none"/>
            <w:effect w:val="none"/>
          </w:rPr>
          <w:t>116</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7.02</w:t>
      </w:r>
      <w:r>
        <w:rPr>
          <w:color w:val="000000"/>
        </w:rPr>
        <w:t>    </w:t>
      </w:r>
      <w:r>
        <w:rPr>
          <w:rFonts w:ascii="Times New Roman;serif" w:hAnsi="Times New Roman;serif"/>
          <w:b w:val="false"/>
          <w:color w:val="000000"/>
          <w:sz w:val="22"/>
        </w:rPr>
        <w:t>Indebtedness    </w:t>
      </w:r>
      <w:hyperlink w:anchor="i1af95870ab1e4d90b56c2d32f098e44a_48">
        <w:r>
          <w:rPr>
            <w:rStyle w:val="InternetLink"/>
            <w:rFonts w:ascii="Times New Roman;serif" w:hAnsi="Times New Roman;serif"/>
            <w:b w:val="false"/>
            <w:strike w:val="false"/>
            <w:dstrike w:val="false"/>
            <w:color w:val="000000"/>
            <w:sz w:val="22"/>
            <w:u w:val="none"/>
            <w:effect w:val="none"/>
          </w:rPr>
          <w:t>118</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7.03</w:t>
      </w:r>
      <w:r>
        <w:rPr>
          <w:color w:val="000000"/>
        </w:rPr>
        <w:t>    </w:t>
      </w:r>
      <w:r>
        <w:rPr>
          <w:rFonts w:ascii="Times New Roman;serif" w:hAnsi="Times New Roman;serif"/>
          <w:b w:val="false"/>
          <w:color w:val="000000"/>
          <w:sz w:val="22"/>
        </w:rPr>
        <w:t>Investments    </w:t>
      </w:r>
      <w:hyperlink w:anchor="i1af95870ab1e4d90b56c2d32f098e44a_48">
        <w:r>
          <w:rPr>
            <w:rStyle w:val="InternetLink"/>
            <w:rFonts w:ascii="Times New Roman;serif" w:hAnsi="Times New Roman;serif"/>
            <w:b w:val="false"/>
            <w:strike w:val="false"/>
            <w:dstrike w:val="false"/>
            <w:color w:val="000000"/>
            <w:sz w:val="22"/>
            <w:u w:val="none"/>
            <w:effect w:val="none"/>
          </w:rPr>
          <w:t>119</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7.04</w:t>
      </w:r>
      <w:r>
        <w:rPr>
          <w:color w:val="000000"/>
        </w:rPr>
        <w:t>    </w:t>
      </w:r>
      <w:r>
        <w:rPr>
          <w:rFonts w:ascii="Times New Roman;serif" w:hAnsi="Times New Roman;serif"/>
          <w:b w:val="false"/>
          <w:color w:val="000000"/>
          <w:sz w:val="22"/>
        </w:rPr>
        <w:t>Fundamental Changes    </w:t>
      </w:r>
      <w:hyperlink w:anchor="i1af95870ab1e4d90b56c2d32f098e44a_48">
        <w:r>
          <w:rPr>
            <w:rStyle w:val="InternetLink"/>
            <w:rFonts w:ascii="Times New Roman;serif" w:hAnsi="Times New Roman;serif"/>
            <w:b w:val="false"/>
            <w:strike w:val="false"/>
            <w:dstrike w:val="false"/>
            <w:color w:val="000000"/>
            <w:sz w:val="22"/>
            <w:u w:val="none"/>
            <w:effect w:val="none"/>
          </w:rPr>
          <w:t>120</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7.05</w:t>
      </w:r>
      <w:r>
        <w:rPr>
          <w:color w:val="000000"/>
        </w:rPr>
        <w:t>    </w:t>
      </w:r>
      <w:r>
        <w:rPr>
          <w:rFonts w:ascii="Times New Roman;serif" w:hAnsi="Times New Roman;serif"/>
          <w:b w:val="false"/>
          <w:color w:val="000000"/>
          <w:sz w:val="22"/>
        </w:rPr>
        <w:t>Dispositions    </w:t>
      </w:r>
      <w:hyperlink w:anchor="i1af95870ab1e4d90b56c2d32f098e44a_48">
        <w:r>
          <w:rPr>
            <w:rStyle w:val="InternetLink"/>
            <w:rFonts w:ascii="Times New Roman;serif" w:hAnsi="Times New Roman;serif"/>
            <w:b w:val="false"/>
            <w:strike w:val="false"/>
            <w:dstrike w:val="false"/>
            <w:color w:val="000000"/>
            <w:sz w:val="22"/>
            <w:u w:val="none"/>
            <w:effect w:val="none"/>
          </w:rPr>
          <w:t>121</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7.06</w:t>
      </w:r>
      <w:r>
        <w:rPr>
          <w:color w:val="000000"/>
        </w:rPr>
        <w:t>    </w:t>
      </w:r>
      <w:r>
        <w:rPr>
          <w:rFonts w:ascii="Times New Roman;serif" w:hAnsi="Times New Roman;serif"/>
          <w:b w:val="false"/>
          <w:color w:val="000000"/>
          <w:sz w:val="22"/>
        </w:rPr>
        <w:t>Restricted Payments    </w:t>
      </w:r>
      <w:hyperlink w:anchor="i1af95870ab1e4d90b56c2d32f098e44a_48">
        <w:r>
          <w:rPr>
            <w:rStyle w:val="InternetLink"/>
            <w:rFonts w:ascii="Times New Roman;serif" w:hAnsi="Times New Roman;serif"/>
            <w:b w:val="false"/>
            <w:strike w:val="false"/>
            <w:dstrike w:val="false"/>
            <w:color w:val="000000"/>
            <w:sz w:val="22"/>
            <w:u w:val="none"/>
            <w:effect w:val="none"/>
          </w:rPr>
          <w:t>122</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7.07</w:t>
      </w:r>
      <w:r>
        <w:rPr>
          <w:color w:val="000000"/>
        </w:rPr>
        <w:t>    </w:t>
      </w:r>
      <w:r>
        <w:rPr>
          <w:rFonts w:ascii="Times New Roman;serif" w:hAnsi="Times New Roman;serif"/>
          <w:b w:val="false"/>
          <w:color w:val="000000"/>
          <w:sz w:val="22"/>
        </w:rPr>
        <w:t>Change in Nature of Business    </w:t>
      </w:r>
      <w:hyperlink w:anchor="i1af95870ab1e4d90b56c2d32f098e44a_48">
        <w:r>
          <w:rPr>
            <w:rStyle w:val="InternetLink"/>
            <w:rFonts w:ascii="Times New Roman;serif" w:hAnsi="Times New Roman;serif"/>
            <w:b w:val="false"/>
            <w:strike w:val="false"/>
            <w:dstrike w:val="false"/>
            <w:color w:val="000000"/>
            <w:sz w:val="22"/>
            <w:u w:val="none"/>
            <w:effect w:val="none"/>
          </w:rPr>
          <w:t>123</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7.08</w:t>
      </w:r>
      <w:r>
        <w:rPr>
          <w:color w:val="000000"/>
        </w:rPr>
        <w:t>    </w:t>
      </w:r>
      <w:r>
        <w:rPr>
          <w:rFonts w:ascii="Times New Roman;serif" w:hAnsi="Times New Roman;serif"/>
          <w:b w:val="false"/>
          <w:color w:val="000000"/>
          <w:sz w:val="22"/>
        </w:rPr>
        <w:t>Transactions with Affiliates    </w:t>
      </w:r>
      <w:hyperlink w:anchor="i1af95870ab1e4d90b56c2d32f098e44a_48">
        <w:r>
          <w:rPr>
            <w:rStyle w:val="InternetLink"/>
            <w:rFonts w:ascii="Times New Roman;serif" w:hAnsi="Times New Roman;serif"/>
            <w:b w:val="false"/>
            <w:strike w:val="false"/>
            <w:dstrike w:val="false"/>
            <w:color w:val="000000"/>
            <w:sz w:val="22"/>
            <w:u w:val="none"/>
            <w:effect w:val="none"/>
          </w:rPr>
          <w:t>123</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7.09</w:t>
      </w:r>
      <w:r>
        <w:rPr>
          <w:color w:val="000000"/>
        </w:rPr>
        <w:t>    </w:t>
      </w:r>
      <w:r>
        <w:rPr>
          <w:rFonts w:ascii="Times New Roman;serif" w:hAnsi="Times New Roman;serif"/>
          <w:b w:val="false"/>
          <w:color w:val="000000"/>
          <w:sz w:val="22"/>
        </w:rPr>
        <w:t>Burdensome Agreements    </w:t>
      </w:r>
      <w:hyperlink w:anchor="i1af95870ab1e4d90b56c2d32f098e44a_48">
        <w:r>
          <w:rPr>
            <w:rStyle w:val="InternetLink"/>
            <w:rFonts w:ascii="Times New Roman;serif" w:hAnsi="Times New Roman;serif"/>
            <w:b w:val="false"/>
            <w:strike w:val="false"/>
            <w:dstrike w:val="false"/>
            <w:color w:val="000000"/>
            <w:sz w:val="22"/>
            <w:u w:val="none"/>
            <w:effect w:val="none"/>
          </w:rPr>
          <w:t>123</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7.10</w:t>
      </w:r>
      <w:r>
        <w:rPr>
          <w:color w:val="000000"/>
        </w:rPr>
        <w:t>    </w:t>
      </w:r>
      <w:r>
        <w:rPr>
          <w:rFonts w:ascii="Times New Roman;serif" w:hAnsi="Times New Roman;serif"/>
          <w:b w:val="false"/>
          <w:color w:val="000000"/>
          <w:sz w:val="22"/>
        </w:rPr>
        <w:t>Use of Proceeds    </w:t>
      </w:r>
      <w:hyperlink w:anchor="i1af95870ab1e4d90b56c2d32f098e44a_48">
        <w:r>
          <w:rPr>
            <w:rStyle w:val="InternetLink"/>
            <w:rFonts w:ascii="Times New Roman;serif" w:hAnsi="Times New Roman;serif"/>
            <w:b w:val="false"/>
            <w:strike w:val="false"/>
            <w:dstrike w:val="false"/>
            <w:color w:val="000000"/>
            <w:sz w:val="22"/>
            <w:u w:val="none"/>
            <w:effect w:val="none"/>
          </w:rPr>
          <w:t>123</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7.11</w:t>
      </w:r>
      <w:r>
        <w:rPr>
          <w:color w:val="000000"/>
        </w:rPr>
        <w:t>    </w:t>
      </w:r>
      <w:r>
        <w:rPr>
          <w:rFonts w:ascii="Times New Roman;serif" w:hAnsi="Times New Roman;serif"/>
          <w:b w:val="false"/>
          <w:color w:val="000000"/>
          <w:sz w:val="22"/>
        </w:rPr>
        <w:t>Financial Covenants    </w:t>
      </w:r>
      <w:hyperlink w:anchor="i1af95870ab1e4d90b56c2d32f098e44a_48">
        <w:r>
          <w:rPr>
            <w:rStyle w:val="InternetLink"/>
            <w:rFonts w:ascii="Times New Roman;serif" w:hAnsi="Times New Roman;serif"/>
            <w:b w:val="false"/>
            <w:strike w:val="false"/>
            <w:dstrike w:val="false"/>
            <w:color w:val="000000"/>
            <w:sz w:val="22"/>
            <w:u w:val="none"/>
            <w:effect w:val="none"/>
          </w:rPr>
          <w:t>123</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7.12</w:t>
      </w:r>
      <w:r>
        <w:rPr>
          <w:color w:val="000000"/>
        </w:rPr>
        <w:t>    </w:t>
      </w:r>
      <w:r>
        <w:rPr>
          <w:rFonts w:ascii="Times New Roman;serif" w:hAnsi="Times New Roman;serif"/>
          <w:b w:val="false"/>
          <w:color w:val="000000"/>
          <w:sz w:val="22"/>
        </w:rPr>
        <w:t>Amendments of Organization Documents; Fiscal Year; Legal Name, Jurisdiction of Formation; Form of Entity and Accounting Changes    </w:t>
      </w:r>
      <w:hyperlink w:anchor="i1af95870ab1e4d90b56c2d32f098e44a_48">
        <w:r>
          <w:rPr>
            <w:rStyle w:val="InternetLink"/>
            <w:rFonts w:ascii="Times New Roman;serif" w:hAnsi="Times New Roman;serif"/>
            <w:b w:val="false"/>
            <w:strike w:val="false"/>
            <w:dstrike w:val="false"/>
            <w:color w:val="000000"/>
            <w:sz w:val="22"/>
            <w:u w:val="none"/>
            <w:effect w:val="none"/>
          </w:rPr>
          <w:t>124</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7.13</w:t>
      </w:r>
      <w:r>
        <w:rPr>
          <w:color w:val="000000"/>
        </w:rPr>
        <w:t>    </w:t>
      </w:r>
      <w:r>
        <w:rPr>
          <w:rFonts w:ascii="Times New Roman;serif" w:hAnsi="Times New Roman;serif"/>
          <w:b w:val="false"/>
          <w:color w:val="000000"/>
          <w:sz w:val="22"/>
        </w:rPr>
        <w:t>Sale and Leaseback Transactions    </w:t>
      </w:r>
      <w:hyperlink w:anchor="i1af95870ab1e4d90b56c2d32f098e44a_48">
        <w:r>
          <w:rPr>
            <w:rStyle w:val="InternetLink"/>
            <w:rFonts w:ascii="Times New Roman;serif" w:hAnsi="Times New Roman;serif"/>
            <w:b w:val="false"/>
            <w:strike w:val="false"/>
            <w:dstrike w:val="false"/>
            <w:color w:val="000000"/>
            <w:sz w:val="22"/>
            <w:u w:val="none"/>
            <w:effect w:val="none"/>
          </w:rPr>
          <w:t>124</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7.14</w:t>
      </w:r>
      <w:r>
        <w:rPr>
          <w:color w:val="000000"/>
        </w:rPr>
        <w:t>    </w:t>
      </w:r>
      <w:r>
        <w:rPr>
          <w:rFonts w:ascii="Times New Roman;serif" w:hAnsi="Times New Roman;serif"/>
          <w:b w:val="false"/>
          <w:color w:val="000000"/>
          <w:sz w:val="22"/>
        </w:rPr>
        <w:t>Sanctions    </w:t>
      </w:r>
      <w:hyperlink w:anchor="i1af95870ab1e4d90b56c2d32f098e44a_48">
        <w:r>
          <w:rPr>
            <w:rStyle w:val="InternetLink"/>
            <w:rFonts w:ascii="Times New Roman;serif" w:hAnsi="Times New Roman;serif"/>
            <w:b w:val="false"/>
            <w:strike w:val="false"/>
            <w:dstrike w:val="false"/>
            <w:color w:val="000000"/>
            <w:sz w:val="22"/>
            <w:u w:val="none"/>
            <w:effect w:val="none"/>
          </w:rPr>
          <w:t>124</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7.15</w:t>
      </w:r>
      <w:r>
        <w:rPr>
          <w:color w:val="000000"/>
        </w:rPr>
        <w:t>    </w:t>
      </w:r>
      <w:r>
        <w:rPr>
          <w:rFonts w:ascii="Times New Roman;serif" w:hAnsi="Times New Roman;serif"/>
          <w:b w:val="false"/>
          <w:color w:val="000000"/>
          <w:sz w:val="22"/>
        </w:rPr>
        <w:t>Anti-Corruption Laws; Anti-Money Laundering Laws    </w:t>
      </w:r>
      <w:hyperlink w:anchor="i1af95870ab1e4d90b56c2d32f098e44a_48">
        <w:r>
          <w:rPr>
            <w:rStyle w:val="InternetLink"/>
            <w:rFonts w:ascii="Times New Roman;serif" w:hAnsi="Times New Roman;serif"/>
            <w:b w:val="false"/>
            <w:strike w:val="false"/>
            <w:dstrike w:val="false"/>
            <w:color w:val="000000"/>
            <w:sz w:val="22"/>
            <w:u w:val="none"/>
            <w:effect w:val="none"/>
          </w:rPr>
          <w:t>124</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7.16</w:t>
      </w:r>
      <w:r>
        <w:rPr>
          <w:color w:val="000000"/>
        </w:rPr>
        <w:t>    </w:t>
      </w:r>
      <w:r>
        <w:rPr>
          <w:rFonts w:ascii="Times New Roman;serif" w:hAnsi="Times New Roman;serif"/>
          <w:b w:val="false"/>
          <w:color w:val="000000"/>
          <w:sz w:val="22"/>
        </w:rPr>
        <w:t>[Reserved]    </w:t>
      </w:r>
      <w:hyperlink w:anchor="i1af95870ab1e4d90b56c2d32f098e44a_48">
        <w:r>
          <w:rPr>
            <w:rStyle w:val="InternetLink"/>
            <w:rFonts w:ascii="Times New Roman;serif" w:hAnsi="Times New Roman;serif"/>
            <w:b w:val="false"/>
            <w:strike w:val="false"/>
            <w:dstrike w:val="false"/>
            <w:color w:val="000000"/>
            <w:sz w:val="22"/>
            <w:u w:val="none"/>
            <w:effect w:val="none"/>
          </w:rPr>
          <w:t>125</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7.17</w:t>
      </w:r>
      <w:r>
        <w:rPr>
          <w:color w:val="000000"/>
        </w:rPr>
        <w:t>    </w:t>
      </w:r>
      <w:r>
        <w:rPr>
          <w:rFonts w:ascii="Times New Roman;serif" w:hAnsi="Times New Roman;serif"/>
          <w:b w:val="false"/>
          <w:color w:val="000000"/>
          <w:sz w:val="22"/>
        </w:rPr>
        <w:t>Canadian Pension Plans    </w:t>
      </w:r>
      <w:hyperlink w:anchor="i1af95870ab1e4d90b56c2d32f098e44a_48">
        <w:r>
          <w:rPr>
            <w:rStyle w:val="InternetLink"/>
            <w:rFonts w:ascii="Times New Roman;serif" w:hAnsi="Times New Roman;serif"/>
            <w:b w:val="false"/>
            <w:strike w:val="false"/>
            <w:dstrike w:val="false"/>
            <w:color w:val="000000"/>
            <w:sz w:val="22"/>
            <w:u w:val="none"/>
            <w:effect w:val="none"/>
          </w:rPr>
          <w:t>125</w:t>
        </w:r>
      </w:hyperlink>
    </w:p>
    <w:p>
      <w:pPr>
        <w:pStyle w:val="TextBody"/>
        <w:bidi w:val="0"/>
        <w:spacing w:lineRule="auto" w:line="288" w:before="120" w:after="120"/>
        <w:ind w:left="0" w:right="0" w:hanging="720"/>
        <w:jc w:val="left"/>
        <w:rPr/>
      </w:pPr>
      <w:r>
        <w:rPr>
          <w:rFonts w:ascii="Times New Roman;serif" w:hAnsi="Times New Roman;serif"/>
          <w:b w:val="false"/>
          <w:color w:val="000000"/>
          <w:sz w:val="22"/>
        </w:rPr>
        <w:t>ARTICLE VIII EVENTS OF DEFAULT AND REMEDIES    </w:t>
      </w:r>
      <w:hyperlink w:anchor="i1af95870ab1e4d90b56c2d32f098e44a_48">
        <w:r>
          <w:rPr>
            <w:rStyle w:val="InternetLink"/>
            <w:rFonts w:ascii="Times New Roman;serif" w:hAnsi="Times New Roman;serif"/>
            <w:b w:val="false"/>
            <w:strike w:val="false"/>
            <w:dstrike w:val="false"/>
            <w:color w:val="000000"/>
            <w:sz w:val="22"/>
            <w:u w:val="none"/>
            <w:effect w:val="none"/>
          </w:rPr>
          <w:t>125</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8.01</w:t>
      </w:r>
      <w:r>
        <w:rPr>
          <w:color w:val="000000"/>
        </w:rPr>
        <w:t>    </w:t>
      </w:r>
      <w:r>
        <w:rPr>
          <w:rFonts w:ascii="Times New Roman;serif" w:hAnsi="Times New Roman;serif"/>
          <w:b w:val="false"/>
          <w:color w:val="000000"/>
          <w:sz w:val="22"/>
        </w:rPr>
        <w:t>Events of Default    </w:t>
      </w:r>
      <w:hyperlink w:anchor="i1af95870ab1e4d90b56c2d32f098e44a_48">
        <w:r>
          <w:rPr>
            <w:rStyle w:val="InternetLink"/>
            <w:rFonts w:ascii="Times New Roman;serif" w:hAnsi="Times New Roman;serif"/>
            <w:b w:val="false"/>
            <w:strike w:val="false"/>
            <w:dstrike w:val="false"/>
            <w:color w:val="000000"/>
            <w:sz w:val="22"/>
            <w:u w:val="none"/>
            <w:effect w:val="none"/>
          </w:rPr>
          <w:t>125</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8.02</w:t>
      </w:r>
      <w:r>
        <w:rPr>
          <w:color w:val="000000"/>
        </w:rPr>
        <w:t>    </w:t>
      </w:r>
      <w:r>
        <w:rPr>
          <w:rFonts w:ascii="Times New Roman;serif" w:hAnsi="Times New Roman;serif"/>
          <w:b w:val="false"/>
          <w:color w:val="000000"/>
          <w:sz w:val="22"/>
        </w:rPr>
        <w:t>Remedies upon Event of Default    </w:t>
      </w:r>
      <w:hyperlink w:anchor="i1af95870ab1e4d90b56c2d32f098e44a_48">
        <w:r>
          <w:rPr>
            <w:rStyle w:val="InternetLink"/>
            <w:rFonts w:ascii="Times New Roman;serif" w:hAnsi="Times New Roman;serif"/>
            <w:b w:val="false"/>
            <w:strike w:val="false"/>
            <w:dstrike w:val="false"/>
            <w:color w:val="000000"/>
            <w:sz w:val="22"/>
            <w:u w:val="none"/>
            <w:effect w:val="none"/>
          </w:rPr>
          <w:t>127</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8.03</w:t>
      </w:r>
      <w:r>
        <w:rPr>
          <w:color w:val="000000"/>
        </w:rPr>
        <w:t>    </w:t>
      </w:r>
      <w:r>
        <w:rPr>
          <w:rFonts w:ascii="Times New Roman;serif" w:hAnsi="Times New Roman;serif"/>
          <w:b w:val="false"/>
          <w:color w:val="000000"/>
          <w:sz w:val="22"/>
        </w:rPr>
        <w:t>Application of Funds    </w:t>
      </w:r>
      <w:hyperlink w:anchor="i1af95870ab1e4d90b56c2d32f098e44a_48">
        <w:r>
          <w:rPr>
            <w:rStyle w:val="InternetLink"/>
            <w:rFonts w:ascii="Times New Roman;serif" w:hAnsi="Times New Roman;serif"/>
            <w:b w:val="false"/>
            <w:strike w:val="false"/>
            <w:dstrike w:val="false"/>
            <w:color w:val="000000"/>
            <w:sz w:val="22"/>
            <w:u w:val="none"/>
            <w:effect w:val="none"/>
          </w:rPr>
          <w:t>128</w:t>
        </w:r>
      </w:hyperlink>
    </w:p>
    <w:p>
      <w:pPr>
        <w:pStyle w:val="TextBody"/>
        <w:bidi w:val="0"/>
        <w:spacing w:lineRule="auto" w:line="288" w:before="120" w:after="120"/>
        <w:ind w:left="0" w:right="0" w:hanging="720"/>
        <w:jc w:val="left"/>
        <w:rPr/>
      </w:pPr>
      <w:r>
        <w:rPr>
          <w:rFonts w:ascii="Times New Roman;serif" w:hAnsi="Times New Roman;serif"/>
          <w:b w:val="false"/>
          <w:color w:val="000000"/>
          <w:sz w:val="22"/>
        </w:rPr>
        <w:t>ARTICLE IX ADMINISTRATIVE AGENT    </w:t>
      </w:r>
      <w:hyperlink w:anchor="i1af95870ab1e4d90b56c2d32f098e44a_48">
        <w:r>
          <w:rPr>
            <w:rStyle w:val="InternetLink"/>
            <w:rFonts w:ascii="Times New Roman;serif" w:hAnsi="Times New Roman;serif"/>
            <w:b w:val="false"/>
            <w:strike w:val="false"/>
            <w:dstrike w:val="false"/>
            <w:color w:val="000000"/>
            <w:sz w:val="22"/>
            <w:u w:val="none"/>
            <w:effect w:val="none"/>
          </w:rPr>
          <w:t>129</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9.01</w:t>
      </w:r>
      <w:r>
        <w:rPr>
          <w:color w:val="000000"/>
        </w:rPr>
        <w:t>    </w:t>
      </w:r>
      <w:r>
        <w:rPr>
          <w:rFonts w:ascii="Times New Roman;serif" w:hAnsi="Times New Roman;serif"/>
          <w:b w:val="false"/>
          <w:color w:val="000000"/>
          <w:sz w:val="22"/>
        </w:rPr>
        <w:t>Appointment and Authority    </w:t>
      </w:r>
      <w:hyperlink w:anchor="i1af95870ab1e4d90b56c2d32f098e44a_48">
        <w:r>
          <w:rPr>
            <w:rStyle w:val="InternetLink"/>
            <w:rFonts w:ascii="Times New Roman;serif" w:hAnsi="Times New Roman;serif"/>
            <w:b w:val="false"/>
            <w:strike w:val="false"/>
            <w:dstrike w:val="false"/>
            <w:color w:val="000000"/>
            <w:sz w:val="22"/>
            <w:u w:val="none"/>
            <w:effect w:val="none"/>
          </w:rPr>
          <w:t>129</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9.02</w:t>
      </w:r>
      <w:r>
        <w:rPr>
          <w:color w:val="000000"/>
        </w:rPr>
        <w:t>    </w:t>
      </w:r>
      <w:r>
        <w:rPr>
          <w:rFonts w:ascii="Times New Roman;serif" w:hAnsi="Times New Roman;serif"/>
          <w:b w:val="false"/>
          <w:color w:val="000000"/>
          <w:sz w:val="22"/>
        </w:rPr>
        <w:t>Rights as a Lender    </w:t>
      </w:r>
      <w:hyperlink w:anchor="i1af95870ab1e4d90b56c2d32f098e44a_48">
        <w:r>
          <w:rPr>
            <w:rStyle w:val="InternetLink"/>
            <w:rFonts w:ascii="Times New Roman;serif" w:hAnsi="Times New Roman;serif"/>
            <w:b w:val="false"/>
            <w:strike w:val="false"/>
            <w:dstrike w:val="false"/>
            <w:color w:val="000000"/>
            <w:sz w:val="22"/>
            <w:u w:val="none"/>
            <w:effect w:val="none"/>
          </w:rPr>
          <w:t>130</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9.03</w:t>
      </w:r>
      <w:r>
        <w:rPr>
          <w:color w:val="000000"/>
        </w:rPr>
        <w:t>    </w:t>
      </w:r>
      <w:r>
        <w:rPr>
          <w:rFonts w:ascii="Times New Roman;serif" w:hAnsi="Times New Roman;serif"/>
          <w:b w:val="false"/>
          <w:color w:val="000000"/>
          <w:sz w:val="22"/>
        </w:rPr>
        <w:t>Exculpatory Provisions    </w:t>
      </w:r>
      <w:hyperlink w:anchor="i1af95870ab1e4d90b56c2d32f098e44a_48">
        <w:r>
          <w:rPr>
            <w:rStyle w:val="InternetLink"/>
            <w:rFonts w:ascii="Times New Roman;serif" w:hAnsi="Times New Roman;serif"/>
            <w:b w:val="false"/>
            <w:strike w:val="false"/>
            <w:dstrike w:val="false"/>
            <w:color w:val="000000"/>
            <w:sz w:val="22"/>
            <w:u w:val="none"/>
            <w:effect w:val="none"/>
          </w:rPr>
          <w:t>130</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9.04</w:t>
      </w:r>
      <w:r>
        <w:rPr>
          <w:color w:val="000000"/>
        </w:rPr>
        <w:t>    </w:t>
      </w:r>
      <w:r>
        <w:rPr>
          <w:rFonts w:ascii="Times New Roman;serif" w:hAnsi="Times New Roman;serif"/>
          <w:b w:val="false"/>
          <w:color w:val="000000"/>
          <w:sz w:val="22"/>
        </w:rPr>
        <w:t>Reliance by Administrative Agent    </w:t>
      </w:r>
      <w:hyperlink w:anchor="i1af95870ab1e4d90b56c2d32f098e44a_48">
        <w:r>
          <w:rPr>
            <w:rStyle w:val="InternetLink"/>
            <w:rFonts w:ascii="Times New Roman;serif" w:hAnsi="Times New Roman;serif"/>
            <w:b w:val="false"/>
            <w:strike w:val="false"/>
            <w:dstrike w:val="false"/>
            <w:color w:val="000000"/>
            <w:sz w:val="22"/>
            <w:u w:val="none"/>
            <w:effect w:val="none"/>
          </w:rPr>
          <w:t>131</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9.05</w:t>
      </w:r>
      <w:r>
        <w:rPr>
          <w:color w:val="000000"/>
        </w:rPr>
        <w:t>    </w:t>
      </w:r>
      <w:r>
        <w:rPr>
          <w:rFonts w:ascii="Times New Roman;serif" w:hAnsi="Times New Roman;serif"/>
          <w:b w:val="false"/>
          <w:color w:val="000000"/>
          <w:sz w:val="22"/>
        </w:rPr>
        <w:t>Delegation of Duties    </w:t>
      </w:r>
      <w:hyperlink w:anchor="i1af95870ab1e4d90b56c2d32f098e44a_48">
        <w:r>
          <w:rPr>
            <w:rStyle w:val="InternetLink"/>
            <w:rFonts w:ascii="Times New Roman;serif" w:hAnsi="Times New Roman;serif"/>
            <w:b w:val="false"/>
            <w:strike w:val="false"/>
            <w:dstrike w:val="false"/>
            <w:color w:val="000000"/>
            <w:sz w:val="22"/>
            <w:u w:val="none"/>
            <w:effect w:val="none"/>
          </w:rPr>
          <w:t>131</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9.06</w:t>
      </w:r>
      <w:r>
        <w:rPr>
          <w:color w:val="000000"/>
        </w:rPr>
        <w:t>    </w:t>
      </w:r>
      <w:r>
        <w:rPr>
          <w:rFonts w:ascii="Times New Roman;serif" w:hAnsi="Times New Roman;serif"/>
          <w:b w:val="false"/>
          <w:color w:val="000000"/>
          <w:sz w:val="22"/>
        </w:rPr>
        <w:t>Resignation of Administrative Agent    </w:t>
      </w:r>
      <w:hyperlink w:anchor="i1af95870ab1e4d90b56c2d32f098e44a_48">
        <w:r>
          <w:rPr>
            <w:rStyle w:val="InternetLink"/>
            <w:rFonts w:ascii="Times New Roman;serif" w:hAnsi="Times New Roman;serif"/>
            <w:b w:val="false"/>
            <w:strike w:val="false"/>
            <w:dstrike w:val="false"/>
            <w:color w:val="000000"/>
            <w:sz w:val="22"/>
            <w:u w:val="none"/>
            <w:effect w:val="none"/>
          </w:rPr>
          <w:t>132</w:t>
        </w:r>
      </w:hyperlink>
    </w:p>
    <w:p>
      <w:pPr>
        <w:pStyle w:val="TextBody"/>
        <w:bidi w:val="0"/>
        <w:spacing w:lineRule="auto" w:line="288"/>
        <w:ind w:left="0" w:right="0" w:hanging="720"/>
        <w:jc w:val="left"/>
        <w:rPr/>
      </w:pPr>
      <w:r>
        <w:rPr>
          <w:rFonts w:ascii="Times New Roman;serif" w:hAnsi="Times New Roman;serif"/>
          <w:b w:val="false"/>
          <w:color w:val="000000"/>
          <w:sz w:val="22"/>
        </w:rPr>
        <w:t>9.07</w:t>
      </w:r>
      <w:r>
        <w:rPr>
          <w:color w:val="000000"/>
        </w:rPr>
        <w:t>    </w:t>
      </w:r>
      <w:r>
        <w:rPr>
          <w:rFonts w:ascii="Times New Roman;serif" w:hAnsi="Times New Roman;serif"/>
          <w:b w:val="false"/>
          <w:color w:val="000000"/>
          <w:sz w:val="22"/>
        </w:rPr>
        <w:t>Non-Reliance on the Administrative Agent, the Arranger and the Other Lenders    </w:t>
      </w:r>
      <w:hyperlink w:anchor="i1af95870ab1e4d90b56c2d32f098e44a_48">
        <w:r>
          <w:rPr>
            <w:rStyle w:val="InternetLink"/>
            <w:rFonts w:ascii="Times New Roman;serif" w:hAnsi="Times New Roman;serif"/>
            <w:b w:val="false"/>
            <w:strike w:val="false"/>
            <w:dstrike w:val="false"/>
            <w:color w:val="000000"/>
            <w:sz w:val="22"/>
            <w:u w:val="none"/>
            <w:effect w:val="none"/>
          </w:rPr>
          <w:t>133</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02285"/>
                <wp:effectExtent l="0" t="0" r="0" b="0"/>
                <wp:wrapNone/>
                <wp:docPr id="32" name="Frame32"/>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iv</w:t>
                            </w:r>
                          </w:p>
                          <w:p>
                            <w:pPr>
                              <w:pStyle w:val="TextBody"/>
                              <w:bidi w:val="0"/>
                              <w:spacing w:lineRule="atLeast" w:line="180" w:before="0" w:after="0"/>
                              <w:jc w:val="left"/>
                              <w:rPr>
                                <w:rFonts w:ascii="Arial;sans-serif" w:hAnsi="Arial;sans-serif"/>
                                <w:b w:val="false"/>
                                <w:color w:val="000000"/>
                                <w:sz w:val="16"/>
                              </w:rPr>
                            </w:pPr>
                            <w:r>
                              <w:rPr>
                                <w:rFonts w:ascii="Arial;sans-serif" w:hAnsi="Arial;sans-serif"/>
                                <w:b w:val="false"/>
                                <w:color w:val="000000"/>
                                <w:sz w:val="16"/>
                              </w:rPr>
                              <w:t>4927-4929-5287, v.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iv</w:t>
                      </w:r>
                    </w:p>
                    <w:p>
                      <w:pPr>
                        <w:pStyle w:val="TextBody"/>
                        <w:bidi w:val="0"/>
                        <w:spacing w:lineRule="atLeast" w:line="180" w:before="0" w:after="0"/>
                        <w:jc w:val="left"/>
                        <w:rPr>
                          <w:rFonts w:ascii="Arial;sans-serif" w:hAnsi="Arial;sans-serif"/>
                          <w:b w:val="false"/>
                          <w:color w:val="000000"/>
                          <w:sz w:val="16"/>
                        </w:rPr>
                      </w:pPr>
                      <w:r>
                        <w:rPr>
                          <w:rFonts w:ascii="Arial;sans-serif" w:hAnsi="Arial;sans-serif"/>
                          <w:b w:val="false"/>
                          <w:color w:val="000000"/>
                          <w:sz w:val="16"/>
                        </w:rPr>
                        <w:t>4927-4929-5287, v. 14</w:t>
                      </w:r>
                    </w:p>
                  </w:txbxContent>
                </v:textbox>
                <w10:wrap type="none"/>
              </v:rect>
            </w:pict>
          </mc:Fallback>
        </mc:AlternateContent>
      </w:r>
    </w:p>
    <w:p>
      <w:pPr>
        <w:pStyle w:val="TextBody"/>
        <w:bidi w:val="0"/>
        <w:spacing w:lineRule="auto" w:line="288" w:before="0" w:after="0"/>
        <w:ind w:left="0" w:right="0" w:hanging="720"/>
        <w:jc w:val="left"/>
        <w:rPr/>
      </w:pPr>
      <w:r>
        <w:rPr>
          <w:rFonts w:ascii="Times New Roman;serif" w:hAnsi="Times New Roman;serif"/>
          <w:b w:val="false"/>
          <w:color w:val="000000"/>
          <w:sz w:val="22"/>
        </w:rPr>
        <w:t>9.08</w:t>
      </w:r>
      <w:r>
        <w:rPr>
          <w:color w:val="000000"/>
        </w:rPr>
        <w:t>    </w:t>
      </w:r>
      <w:r>
        <w:rPr>
          <w:rFonts w:ascii="Times New Roman;serif" w:hAnsi="Times New Roman;serif"/>
          <w:b w:val="false"/>
          <w:color w:val="000000"/>
          <w:sz w:val="22"/>
        </w:rPr>
        <w:t>No Other Duties, Etc    </w:t>
      </w:r>
      <w:hyperlink w:anchor="i1af95870ab1e4d90b56c2d32f098e44a_48">
        <w:r>
          <w:rPr>
            <w:rStyle w:val="InternetLink"/>
            <w:rFonts w:ascii="Times New Roman;serif" w:hAnsi="Times New Roman;serif"/>
            <w:b w:val="false"/>
            <w:strike w:val="false"/>
            <w:dstrike w:val="false"/>
            <w:color w:val="000000"/>
            <w:sz w:val="22"/>
            <w:u w:val="none"/>
            <w:effect w:val="none"/>
          </w:rPr>
          <w:t>134</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9.09</w:t>
      </w:r>
      <w:r>
        <w:rPr>
          <w:color w:val="000000"/>
        </w:rPr>
        <w:t>    </w:t>
      </w:r>
      <w:r>
        <w:rPr>
          <w:rFonts w:ascii="Times New Roman;serif" w:hAnsi="Times New Roman;serif"/>
          <w:b w:val="false"/>
          <w:color w:val="000000"/>
          <w:sz w:val="22"/>
        </w:rPr>
        <w:t>Administrative Agent May File Proofs of Claim    </w:t>
      </w:r>
      <w:hyperlink w:anchor="i1af95870ab1e4d90b56c2d32f098e44a_48">
        <w:r>
          <w:rPr>
            <w:rStyle w:val="InternetLink"/>
            <w:rFonts w:ascii="Times New Roman;serif" w:hAnsi="Times New Roman;serif"/>
            <w:b w:val="false"/>
            <w:strike w:val="false"/>
            <w:dstrike w:val="false"/>
            <w:color w:val="000000"/>
            <w:sz w:val="22"/>
            <w:u w:val="none"/>
            <w:effect w:val="none"/>
          </w:rPr>
          <w:t>134</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9.10</w:t>
      </w:r>
      <w:r>
        <w:rPr>
          <w:color w:val="000000"/>
        </w:rPr>
        <w:t>    </w:t>
      </w:r>
      <w:r>
        <w:rPr>
          <w:rFonts w:ascii="Times New Roman;serif" w:hAnsi="Times New Roman;serif"/>
          <w:b w:val="false"/>
          <w:color w:val="000000"/>
          <w:sz w:val="22"/>
        </w:rPr>
        <w:t>Guaranty Matters    </w:t>
      </w:r>
      <w:hyperlink w:anchor="i1af95870ab1e4d90b56c2d32f098e44a_48">
        <w:r>
          <w:rPr>
            <w:rStyle w:val="InternetLink"/>
            <w:rFonts w:ascii="Times New Roman;serif" w:hAnsi="Times New Roman;serif"/>
            <w:b w:val="false"/>
            <w:strike w:val="false"/>
            <w:dstrike w:val="false"/>
            <w:color w:val="000000"/>
            <w:sz w:val="22"/>
            <w:u w:val="none"/>
            <w:effect w:val="none"/>
          </w:rPr>
          <w:t>135</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9.11</w:t>
      </w:r>
      <w:r>
        <w:rPr>
          <w:color w:val="000000"/>
        </w:rPr>
        <w:t>    </w:t>
      </w:r>
      <w:r>
        <w:rPr>
          <w:rFonts w:ascii="Times New Roman;serif" w:hAnsi="Times New Roman;serif"/>
          <w:b w:val="false"/>
          <w:color w:val="000000"/>
          <w:sz w:val="22"/>
        </w:rPr>
        <w:t>Guaranteed Cash Management Agreements    </w:t>
      </w:r>
      <w:hyperlink w:anchor="i1af95870ab1e4d90b56c2d32f098e44a_48">
        <w:r>
          <w:rPr>
            <w:rStyle w:val="InternetLink"/>
            <w:rFonts w:ascii="Times New Roman;serif" w:hAnsi="Times New Roman;serif"/>
            <w:b w:val="false"/>
            <w:strike w:val="false"/>
            <w:dstrike w:val="false"/>
            <w:color w:val="000000"/>
            <w:sz w:val="22"/>
            <w:u w:val="none"/>
            <w:effect w:val="none"/>
          </w:rPr>
          <w:t>135</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9.12</w:t>
      </w:r>
      <w:r>
        <w:rPr>
          <w:color w:val="000000"/>
        </w:rPr>
        <w:t>    </w:t>
      </w:r>
      <w:r>
        <w:rPr>
          <w:rFonts w:ascii="Times New Roman;serif" w:hAnsi="Times New Roman;serif"/>
          <w:b w:val="false"/>
          <w:color w:val="000000"/>
          <w:sz w:val="22"/>
        </w:rPr>
        <w:t>Certain ERISA Matters    </w:t>
      </w:r>
      <w:hyperlink w:anchor="i1af95870ab1e4d90b56c2d32f098e44a_48">
        <w:r>
          <w:rPr>
            <w:rStyle w:val="InternetLink"/>
            <w:rFonts w:ascii="Times New Roman;serif" w:hAnsi="Times New Roman;serif"/>
            <w:b w:val="false"/>
            <w:strike w:val="false"/>
            <w:dstrike w:val="false"/>
            <w:color w:val="000000"/>
            <w:sz w:val="22"/>
            <w:u w:val="none"/>
            <w:effect w:val="none"/>
          </w:rPr>
          <w:t>135</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9.13</w:t>
      </w:r>
      <w:r>
        <w:rPr>
          <w:color w:val="000000"/>
        </w:rPr>
        <w:t>    </w:t>
      </w:r>
      <w:r>
        <w:rPr>
          <w:rFonts w:ascii="Times New Roman;serif" w:hAnsi="Times New Roman;serif"/>
          <w:b w:val="false"/>
          <w:color w:val="000000"/>
          <w:sz w:val="22"/>
        </w:rPr>
        <w:t>Recovery of Erroneous Payments    </w:t>
      </w:r>
      <w:hyperlink w:anchor="i1af95870ab1e4d90b56c2d32f098e44a_48">
        <w:r>
          <w:rPr>
            <w:rStyle w:val="InternetLink"/>
            <w:rFonts w:ascii="Times New Roman;serif" w:hAnsi="Times New Roman;serif"/>
            <w:b w:val="false"/>
            <w:strike w:val="false"/>
            <w:dstrike w:val="false"/>
            <w:color w:val="000000"/>
            <w:sz w:val="22"/>
            <w:u w:val="none"/>
            <w:effect w:val="none"/>
          </w:rPr>
          <w:t>136</w:t>
        </w:r>
      </w:hyperlink>
    </w:p>
    <w:p>
      <w:pPr>
        <w:pStyle w:val="TextBody"/>
        <w:bidi w:val="0"/>
        <w:spacing w:lineRule="auto" w:line="288" w:before="120" w:after="120"/>
        <w:ind w:left="0" w:right="0" w:hanging="720"/>
        <w:jc w:val="left"/>
        <w:rPr/>
      </w:pPr>
      <w:r>
        <w:rPr>
          <w:rFonts w:ascii="Times New Roman;serif" w:hAnsi="Times New Roman;serif"/>
          <w:b w:val="false"/>
          <w:color w:val="000000"/>
          <w:sz w:val="22"/>
        </w:rPr>
        <w:t>ARTICLE X CONTINUING GUARANTY    </w:t>
      </w:r>
      <w:hyperlink w:anchor="i1af95870ab1e4d90b56c2d32f098e44a_48">
        <w:r>
          <w:rPr>
            <w:rStyle w:val="InternetLink"/>
            <w:rFonts w:ascii="Times New Roman;serif" w:hAnsi="Times New Roman;serif"/>
            <w:b w:val="false"/>
            <w:strike w:val="false"/>
            <w:dstrike w:val="false"/>
            <w:color w:val="000000"/>
            <w:sz w:val="22"/>
            <w:u w:val="none"/>
            <w:effect w:val="none"/>
          </w:rPr>
          <w:t>137</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10.01</w:t>
      </w:r>
      <w:r>
        <w:rPr>
          <w:color w:val="000000"/>
        </w:rPr>
        <w:t>    </w:t>
      </w:r>
      <w:r>
        <w:rPr>
          <w:rFonts w:ascii="Times New Roman;serif" w:hAnsi="Times New Roman;serif"/>
          <w:b w:val="false"/>
          <w:color w:val="000000"/>
          <w:sz w:val="22"/>
        </w:rPr>
        <w:t>Guaranty    </w:t>
      </w:r>
      <w:hyperlink w:anchor="i1af95870ab1e4d90b56c2d32f098e44a_48">
        <w:r>
          <w:rPr>
            <w:rStyle w:val="InternetLink"/>
            <w:rFonts w:ascii="Times New Roman;serif" w:hAnsi="Times New Roman;serif"/>
            <w:b w:val="false"/>
            <w:strike w:val="false"/>
            <w:dstrike w:val="false"/>
            <w:color w:val="000000"/>
            <w:sz w:val="22"/>
            <w:u w:val="none"/>
            <w:effect w:val="none"/>
          </w:rPr>
          <w:t>137</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10.02</w:t>
      </w:r>
      <w:r>
        <w:rPr>
          <w:color w:val="000000"/>
        </w:rPr>
        <w:t>    </w:t>
      </w:r>
      <w:r>
        <w:rPr>
          <w:rFonts w:ascii="Times New Roman;serif" w:hAnsi="Times New Roman;serif"/>
          <w:b w:val="false"/>
          <w:color w:val="000000"/>
          <w:sz w:val="22"/>
        </w:rPr>
        <w:t>Rights of Lenders    </w:t>
      </w:r>
      <w:hyperlink w:anchor="i1af95870ab1e4d90b56c2d32f098e44a_48">
        <w:r>
          <w:rPr>
            <w:rStyle w:val="InternetLink"/>
            <w:rFonts w:ascii="Times New Roman;serif" w:hAnsi="Times New Roman;serif"/>
            <w:b w:val="false"/>
            <w:strike w:val="false"/>
            <w:dstrike w:val="false"/>
            <w:color w:val="000000"/>
            <w:sz w:val="22"/>
            <w:u w:val="none"/>
            <w:effect w:val="none"/>
          </w:rPr>
          <w:t>137</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10.03</w:t>
      </w:r>
      <w:r>
        <w:rPr>
          <w:color w:val="000000"/>
        </w:rPr>
        <w:t>    </w:t>
      </w:r>
      <w:r>
        <w:rPr>
          <w:rFonts w:ascii="Times New Roman;serif" w:hAnsi="Times New Roman;serif"/>
          <w:b w:val="false"/>
          <w:color w:val="000000"/>
          <w:sz w:val="22"/>
        </w:rPr>
        <w:t>Certain Waivers    </w:t>
      </w:r>
      <w:hyperlink w:anchor="i1af95870ab1e4d90b56c2d32f098e44a_48">
        <w:r>
          <w:rPr>
            <w:rStyle w:val="InternetLink"/>
            <w:rFonts w:ascii="Times New Roman;serif" w:hAnsi="Times New Roman;serif"/>
            <w:b w:val="false"/>
            <w:strike w:val="false"/>
            <w:dstrike w:val="false"/>
            <w:color w:val="000000"/>
            <w:sz w:val="22"/>
            <w:u w:val="none"/>
            <w:effect w:val="none"/>
          </w:rPr>
          <w:t>138</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10.04</w:t>
      </w:r>
      <w:r>
        <w:rPr>
          <w:color w:val="000000"/>
        </w:rPr>
        <w:t>    </w:t>
      </w:r>
      <w:r>
        <w:rPr>
          <w:rFonts w:ascii="Times New Roman;serif" w:hAnsi="Times New Roman;serif"/>
          <w:b w:val="false"/>
          <w:color w:val="000000"/>
          <w:sz w:val="22"/>
        </w:rPr>
        <w:t>Obligations Independent    </w:t>
      </w:r>
      <w:hyperlink w:anchor="i1af95870ab1e4d90b56c2d32f098e44a_48">
        <w:r>
          <w:rPr>
            <w:rStyle w:val="InternetLink"/>
            <w:rFonts w:ascii="Times New Roman;serif" w:hAnsi="Times New Roman;serif"/>
            <w:b w:val="false"/>
            <w:strike w:val="false"/>
            <w:dstrike w:val="false"/>
            <w:color w:val="000000"/>
            <w:sz w:val="22"/>
            <w:u w:val="none"/>
            <w:effect w:val="none"/>
          </w:rPr>
          <w:t>138</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10.05</w:t>
      </w:r>
      <w:r>
        <w:rPr>
          <w:color w:val="000000"/>
        </w:rPr>
        <w:t>    </w:t>
      </w:r>
      <w:r>
        <w:rPr>
          <w:rFonts w:ascii="Times New Roman;serif" w:hAnsi="Times New Roman;serif"/>
          <w:b w:val="false"/>
          <w:color w:val="000000"/>
          <w:sz w:val="22"/>
        </w:rPr>
        <w:t>Subrogation    </w:t>
      </w:r>
      <w:hyperlink w:anchor="i1af95870ab1e4d90b56c2d32f098e44a_48">
        <w:r>
          <w:rPr>
            <w:rStyle w:val="InternetLink"/>
            <w:rFonts w:ascii="Times New Roman;serif" w:hAnsi="Times New Roman;serif"/>
            <w:b w:val="false"/>
            <w:strike w:val="false"/>
            <w:dstrike w:val="false"/>
            <w:color w:val="000000"/>
            <w:sz w:val="22"/>
            <w:u w:val="none"/>
            <w:effect w:val="none"/>
          </w:rPr>
          <w:t>138</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10.06</w:t>
      </w:r>
      <w:r>
        <w:rPr>
          <w:color w:val="000000"/>
        </w:rPr>
        <w:t>    </w:t>
      </w:r>
      <w:r>
        <w:rPr>
          <w:rFonts w:ascii="Times New Roman;serif" w:hAnsi="Times New Roman;serif"/>
          <w:b w:val="false"/>
          <w:color w:val="000000"/>
          <w:sz w:val="22"/>
        </w:rPr>
        <w:t>Termination; Reinstatement    </w:t>
      </w:r>
      <w:hyperlink w:anchor="i1af95870ab1e4d90b56c2d32f098e44a_48">
        <w:r>
          <w:rPr>
            <w:rStyle w:val="InternetLink"/>
            <w:rFonts w:ascii="Times New Roman;serif" w:hAnsi="Times New Roman;serif"/>
            <w:b w:val="false"/>
            <w:strike w:val="false"/>
            <w:dstrike w:val="false"/>
            <w:color w:val="000000"/>
            <w:sz w:val="22"/>
            <w:u w:val="none"/>
            <w:effect w:val="none"/>
          </w:rPr>
          <w:t>138</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10.07</w:t>
      </w:r>
      <w:r>
        <w:rPr>
          <w:color w:val="000000"/>
        </w:rPr>
        <w:t>    </w:t>
      </w:r>
      <w:r>
        <w:rPr>
          <w:rFonts w:ascii="Times New Roman;serif" w:hAnsi="Times New Roman;serif"/>
          <w:b w:val="false"/>
          <w:color w:val="000000"/>
          <w:sz w:val="22"/>
        </w:rPr>
        <w:t>Stay of Acceleration    </w:t>
      </w:r>
      <w:hyperlink w:anchor="i1af95870ab1e4d90b56c2d32f098e44a_48">
        <w:r>
          <w:rPr>
            <w:rStyle w:val="InternetLink"/>
            <w:rFonts w:ascii="Times New Roman;serif" w:hAnsi="Times New Roman;serif"/>
            <w:b w:val="false"/>
            <w:strike w:val="false"/>
            <w:dstrike w:val="false"/>
            <w:color w:val="000000"/>
            <w:sz w:val="22"/>
            <w:u w:val="none"/>
            <w:effect w:val="none"/>
          </w:rPr>
          <w:t>139</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10.08</w:t>
      </w:r>
      <w:r>
        <w:rPr>
          <w:color w:val="000000"/>
        </w:rPr>
        <w:t>    </w:t>
      </w:r>
      <w:r>
        <w:rPr>
          <w:rFonts w:ascii="Times New Roman;serif" w:hAnsi="Times New Roman;serif"/>
          <w:b w:val="false"/>
          <w:color w:val="000000"/>
          <w:sz w:val="22"/>
        </w:rPr>
        <w:t>Condition of Borrower    </w:t>
      </w:r>
      <w:hyperlink w:anchor="i1af95870ab1e4d90b56c2d32f098e44a_48">
        <w:r>
          <w:rPr>
            <w:rStyle w:val="InternetLink"/>
            <w:rFonts w:ascii="Times New Roman;serif" w:hAnsi="Times New Roman;serif"/>
            <w:b w:val="false"/>
            <w:strike w:val="false"/>
            <w:dstrike w:val="false"/>
            <w:color w:val="000000"/>
            <w:sz w:val="22"/>
            <w:u w:val="none"/>
            <w:effect w:val="none"/>
          </w:rPr>
          <w:t>139</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10.09</w:t>
      </w:r>
      <w:r>
        <w:rPr>
          <w:color w:val="000000"/>
        </w:rPr>
        <w:t>    </w:t>
      </w:r>
      <w:r>
        <w:rPr>
          <w:rFonts w:ascii="Times New Roman;serif" w:hAnsi="Times New Roman;serif"/>
          <w:b w:val="false"/>
          <w:color w:val="000000"/>
          <w:sz w:val="22"/>
        </w:rPr>
        <w:t>Appointment of Company    </w:t>
      </w:r>
      <w:hyperlink w:anchor="i1af95870ab1e4d90b56c2d32f098e44a_48">
        <w:r>
          <w:rPr>
            <w:rStyle w:val="InternetLink"/>
            <w:rFonts w:ascii="Times New Roman;serif" w:hAnsi="Times New Roman;serif"/>
            <w:b w:val="false"/>
            <w:strike w:val="false"/>
            <w:dstrike w:val="false"/>
            <w:color w:val="000000"/>
            <w:sz w:val="22"/>
            <w:u w:val="none"/>
            <w:effect w:val="none"/>
          </w:rPr>
          <w:t>139</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10.10</w:t>
      </w:r>
      <w:r>
        <w:rPr>
          <w:color w:val="000000"/>
        </w:rPr>
        <w:t>    </w:t>
      </w:r>
      <w:r>
        <w:rPr>
          <w:rFonts w:ascii="Times New Roman;serif" w:hAnsi="Times New Roman;serif"/>
          <w:b w:val="false"/>
          <w:color w:val="000000"/>
          <w:sz w:val="22"/>
        </w:rPr>
        <w:t>Right of Contribution    </w:t>
      </w:r>
      <w:hyperlink w:anchor="i1af95870ab1e4d90b56c2d32f098e44a_48">
        <w:r>
          <w:rPr>
            <w:rStyle w:val="InternetLink"/>
            <w:rFonts w:ascii="Times New Roman;serif" w:hAnsi="Times New Roman;serif"/>
            <w:b w:val="false"/>
            <w:strike w:val="false"/>
            <w:dstrike w:val="false"/>
            <w:color w:val="000000"/>
            <w:sz w:val="22"/>
            <w:u w:val="none"/>
            <w:effect w:val="none"/>
          </w:rPr>
          <w:t>139</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10.11</w:t>
      </w:r>
      <w:r>
        <w:rPr>
          <w:color w:val="000000"/>
        </w:rPr>
        <w:t>    </w:t>
      </w:r>
      <w:r>
        <w:rPr>
          <w:rFonts w:ascii="Times New Roman;serif" w:hAnsi="Times New Roman;serif"/>
          <w:b w:val="false"/>
          <w:color w:val="000000"/>
          <w:sz w:val="22"/>
        </w:rPr>
        <w:t>Keepwell    </w:t>
      </w:r>
      <w:hyperlink w:anchor="i1af95870ab1e4d90b56c2d32f098e44a_48">
        <w:r>
          <w:rPr>
            <w:rStyle w:val="InternetLink"/>
            <w:rFonts w:ascii="Times New Roman;serif" w:hAnsi="Times New Roman;serif"/>
            <w:b w:val="false"/>
            <w:strike w:val="false"/>
            <w:dstrike w:val="false"/>
            <w:color w:val="000000"/>
            <w:sz w:val="22"/>
            <w:u w:val="none"/>
            <w:effect w:val="none"/>
          </w:rPr>
          <w:t>139</w:t>
        </w:r>
      </w:hyperlink>
    </w:p>
    <w:p>
      <w:pPr>
        <w:pStyle w:val="TextBody"/>
        <w:bidi w:val="0"/>
        <w:spacing w:lineRule="auto" w:line="288" w:before="120" w:after="120"/>
        <w:ind w:left="0" w:right="0" w:hanging="720"/>
        <w:jc w:val="left"/>
        <w:rPr/>
      </w:pPr>
      <w:r>
        <w:rPr>
          <w:rFonts w:ascii="Times New Roman;serif" w:hAnsi="Times New Roman;serif"/>
          <w:b w:val="false"/>
          <w:color w:val="000000"/>
          <w:sz w:val="22"/>
        </w:rPr>
        <w:t>ARTICLE XI MISCELLANEOUS    </w:t>
      </w:r>
      <w:hyperlink w:anchor="i1af95870ab1e4d90b56c2d32f098e44a_48">
        <w:r>
          <w:rPr>
            <w:rStyle w:val="InternetLink"/>
            <w:rFonts w:ascii="Times New Roman;serif" w:hAnsi="Times New Roman;serif"/>
            <w:b w:val="false"/>
            <w:strike w:val="false"/>
            <w:dstrike w:val="false"/>
            <w:color w:val="000000"/>
            <w:sz w:val="22"/>
            <w:u w:val="none"/>
            <w:effect w:val="none"/>
          </w:rPr>
          <w:t>140</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11.01</w:t>
      </w:r>
      <w:r>
        <w:rPr>
          <w:color w:val="000000"/>
        </w:rPr>
        <w:t>    </w:t>
      </w:r>
      <w:r>
        <w:rPr>
          <w:rFonts w:ascii="Times New Roman;serif" w:hAnsi="Times New Roman;serif"/>
          <w:b w:val="false"/>
          <w:color w:val="000000"/>
          <w:sz w:val="22"/>
        </w:rPr>
        <w:t>Amendments, Etc    </w:t>
      </w:r>
      <w:hyperlink w:anchor="i1af95870ab1e4d90b56c2d32f098e44a_48">
        <w:r>
          <w:rPr>
            <w:rStyle w:val="InternetLink"/>
            <w:rFonts w:ascii="Times New Roman;serif" w:hAnsi="Times New Roman;serif"/>
            <w:b w:val="false"/>
            <w:strike w:val="false"/>
            <w:dstrike w:val="false"/>
            <w:color w:val="000000"/>
            <w:sz w:val="22"/>
            <w:u w:val="none"/>
            <w:effect w:val="none"/>
          </w:rPr>
          <w:t>140</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11.02</w:t>
      </w:r>
      <w:r>
        <w:rPr>
          <w:color w:val="000000"/>
        </w:rPr>
        <w:t>    </w:t>
      </w:r>
      <w:r>
        <w:rPr>
          <w:rFonts w:ascii="Times New Roman;serif" w:hAnsi="Times New Roman;serif"/>
          <w:b w:val="false"/>
          <w:color w:val="000000"/>
          <w:sz w:val="22"/>
        </w:rPr>
        <w:t>Notices; Effectiveness; Electronic Communications    </w:t>
      </w:r>
      <w:hyperlink w:anchor="i1af95870ab1e4d90b56c2d32f098e44a_48">
        <w:r>
          <w:rPr>
            <w:rStyle w:val="InternetLink"/>
            <w:rFonts w:ascii="Times New Roman;serif" w:hAnsi="Times New Roman;serif"/>
            <w:b w:val="false"/>
            <w:strike w:val="false"/>
            <w:dstrike w:val="false"/>
            <w:color w:val="000000"/>
            <w:sz w:val="22"/>
            <w:u w:val="none"/>
            <w:effect w:val="none"/>
          </w:rPr>
          <w:t>143</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11.03</w:t>
      </w:r>
      <w:r>
        <w:rPr>
          <w:color w:val="000000"/>
        </w:rPr>
        <w:t>    </w:t>
      </w:r>
      <w:r>
        <w:rPr>
          <w:rFonts w:ascii="Times New Roman;serif" w:hAnsi="Times New Roman;serif"/>
          <w:b w:val="false"/>
          <w:color w:val="000000"/>
          <w:sz w:val="22"/>
        </w:rPr>
        <w:t>No Waiver; Cumulative Remedies; Enforcement    </w:t>
      </w:r>
      <w:hyperlink w:anchor="i1af95870ab1e4d90b56c2d32f098e44a_48">
        <w:r>
          <w:rPr>
            <w:rStyle w:val="InternetLink"/>
            <w:rFonts w:ascii="Times New Roman;serif" w:hAnsi="Times New Roman;serif"/>
            <w:b w:val="false"/>
            <w:strike w:val="false"/>
            <w:dstrike w:val="false"/>
            <w:color w:val="000000"/>
            <w:sz w:val="22"/>
            <w:u w:val="none"/>
            <w:effect w:val="none"/>
          </w:rPr>
          <w:t>145</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11.04</w:t>
      </w:r>
      <w:r>
        <w:rPr>
          <w:color w:val="000000"/>
        </w:rPr>
        <w:t>    </w:t>
      </w:r>
      <w:r>
        <w:rPr>
          <w:rFonts w:ascii="Times New Roman;serif" w:hAnsi="Times New Roman;serif"/>
          <w:b w:val="false"/>
          <w:color w:val="000000"/>
          <w:sz w:val="22"/>
        </w:rPr>
        <w:t>Expenses; Indemnity; Damage Waiver    </w:t>
      </w:r>
      <w:hyperlink w:anchor="i1af95870ab1e4d90b56c2d32f098e44a_48">
        <w:r>
          <w:rPr>
            <w:rStyle w:val="InternetLink"/>
            <w:rFonts w:ascii="Times New Roman;serif" w:hAnsi="Times New Roman;serif"/>
            <w:b w:val="false"/>
            <w:strike w:val="false"/>
            <w:dstrike w:val="false"/>
            <w:color w:val="000000"/>
            <w:sz w:val="22"/>
            <w:u w:val="none"/>
            <w:effect w:val="none"/>
          </w:rPr>
          <w:t>145</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11.05</w:t>
      </w:r>
      <w:r>
        <w:rPr>
          <w:color w:val="000000"/>
        </w:rPr>
        <w:t>    </w:t>
      </w:r>
      <w:r>
        <w:rPr>
          <w:rFonts w:ascii="Times New Roman;serif" w:hAnsi="Times New Roman;serif"/>
          <w:b w:val="false"/>
          <w:color w:val="000000"/>
          <w:sz w:val="22"/>
        </w:rPr>
        <w:t>Payments Set Aside    </w:t>
      </w:r>
      <w:hyperlink w:anchor="i1af95870ab1e4d90b56c2d32f098e44a_48">
        <w:r>
          <w:rPr>
            <w:rStyle w:val="InternetLink"/>
            <w:rFonts w:ascii="Times New Roman;serif" w:hAnsi="Times New Roman;serif"/>
            <w:b w:val="false"/>
            <w:strike w:val="false"/>
            <w:dstrike w:val="false"/>
            <w:color w:val="000000"/>
            <w:sz w:val="22"/>
            <w:u w:val="none"/>
            <w:effect w:val="none"/>
          </w:rPr>
          <w:t>148</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11.06</w:t>
      </w:r>
      <w:r>
        <w:rPr>
          <w:color w:val="000000"/>
        </w:rPr>
        <w:t>    </w:t>
      </w:r>
      <w:r>
        <w:rPr>
          <w:rFonts w:ascii="Times New Roman;serif" w:hAnsi="Times New Roman;serif"/>
          <w:b w:val="false"/>
          <w:color w:val="000000"/>
          <w:sz w:val="22"/>
        </w:rPr>
        <w:t>Successors and Assigns    </w:t>
      </w:r>
      <w:hyperlink w:anchor="i1af95870ab1e4d90b56c2d32f098e44a_48">
        <w:r>
          <w:rPr>
            <w:rStyle w:val="InternetLink"/>
            <w:rFonts w:ascii="Times New Roman;serif" w:hAnsi="Times New Roman;serif"/>
            <w:b w:val="false"/>
            <w:strike w:val="false"/>
            <w:dstrike w:val="false"/>
            <w:color w:val="000000"/>
            <w:sz w:val="22"/>
            <w:u w:val="none"/>
            <w:effect w:val="none"/>
          </w:rPr>
          <w:t>148</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11.07</w:t>
      </w:r>
      <w:r>
        <w:rPr>
          <w:color w:val="000000"/>
        </w:rPr>
        <w:t>    </w:t>
      </w:r>
      <w:r>
        <w:rPr>
          <w:rFonts w:ascii="Times New Roman;serif" w:hAnsi="Times New Roman;serif"/>
          <w:b w:val="false"/>
          <w:color w:val="000000"/>
          <w:sz w:val="22"/>
        </w:rPr>
        <w:t>Treatment of Certain Information; Confidentiality    </w:t>
      </w:r>
      <w:hyperlink w:anchor="i1af95870ab1e4d90b56c2d32f098e44a_48">
        <w:r>
          <w:rPr>
            <w:rStyle w:val="InternetLink"/>
            <w:rFonts w:ascii="Times New Roman;serif" w:hAnsi="Times New Roman;serif"/>
            <w:b w:val="false"/>
            <w:strike w:val="false"/>
            <w:dstrike w:val="false"/>
            <w:color w:val="000000"/>
            <w:sz w:val="22"/>
            <w:u w:val="none"/>
            <w:effect w:val="none"/>
          </w:rPr>
          <w:t>153</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11.08</w:t>
      </w:r>
      <w:r>
        <w:rPr>
          <w:color w:val="000000"/>
        </w:rPr>
        <w:t>    </w:t>
      </w:r>
      <w:r>
        <w:rPr>
          <w:rFonts w:ascii="Times New Roman;serif" w:hAnsi="Times New Roman;serif"/>
          <w:b w:val="false"/>
          <w:color w:val="000000"/>
          <w:sz w:val="22"/>
        </w:rPr>
        <w:t>Right of Setoff    </w:t>
      </w:r>
      <w:hyperlink w:anchor="i1af95870ab1e4d90b56c2d32f098e44a_48">
        <w:r>
          <w:rPr>
            <w:rStyle w:val="InternetLink"/>
            <w:rFonts w:ascii="Times New Roman;serif" w:hAnsi="Times New Roman;serif"/>
            <w:b w:val="false"/>
            <w:strike w:val="false"/>
            <w:dstrike w:val="false"/>
            <w:color w:val="000000"/>
            <w:sz w:val="22"/>
            <w:u w:val="none"/>
            <w:effect w:val="none"/>
          </w:rPr>
          <w:t>154</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11.09</w:t>
      </w:r>
      <w:r>
        <w:rPr>
          <w:color w:val="000000"/>
        </w:rPr>
        <w:t>    </w:t>
      </w:r>
      <w:r>
        <w:rPr>
          <w:rFonts w:ascii="Times New Roman;serif" w:hAnsi="Times New Roman;serif"/>
          <w:b w:val="false"/>
          <w:color w:val="000000"/>
          <w:sz w:val="22"/>
        </w:rPr>
        <w:t>Interest Rate Limitation    </w:t>
      </w:r>
      <w:hyperlink w:anchor="i1af95870ab1e4d90b56c2d32f098e44a_48">
        <w:r>
          <w:rPr>
            <w:rStyle w:val="InternetLink"/>
            <w:rFonts w:ascii="Times New Roman;serif" w:hAnsi="Times New Roman;serif"/>
            <w:b w:val="false"/>
            <w:strike w:val="false"/>
            <w:dstrike w:val="false"/>
            <w:color w:val="000000"/>
            <w:sz w:val="22"/>
            <w:u w:val="none"/>
            <w:effect w:val="none"/>
          </w:rPr>
          <w:t>155</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11.10</w:t>
      </w:r>
      <w:r>
        <w:rPr>
          <w:color w:val="000000"/>
        </w:rPr>
        <w:t>    </w:t>
      </w:r>
      <w:r>
        <w:rPr>
          <w:rFonts w:ascii="Times New Roman;serif" w:hAnsi="Times New Roman;serif"/>
          <w:b w:val="false"/>
          <w:color w:val="000000"/>
          <w:sz w:val="22"/>
        </w:rPr>
        <w:t>Integration; Effectiveness    </w:t>
      </w:r>
      <w:hyperlink w:anchor="i1af95870ab1e4d90b56c2d32f098e44a_48">
        <w:r>
          <w:rPr>
            <w:rStyle w:val="InternetLink"/>
            <w:rFonts w:ascii="Times New Roman;serif" w:hAnsi="Times New Roman;serif"/>
            <w:b w:val="false"/>
            <w:strike w:val="false"/>
            <w:dstrike w:val="false"/>
            <w:color w:val="000000"/>
            <w:sz w:val="22"/>
            <w:u w:val="none"/>
            <w:effect w:val="none"/>
          </w:rPr>
          <w:t>155</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11.11</w:t>
      </w:r>
      <w:r>
        <w:rPr>
          <w:color w:val="000000"/>
        </w:rPr>
        <w:t>    </w:t>
      </w:r>
      <w:r>
        <w:rPr>
          <w:rFonts w:ascii="Times New Roman;serif" w:hAnsi="Times New Roman;serif"/>
          <w:b w:val="false"/>
          <w:color w:val="000000"/>
          <w:sz w:val="22"/>
        </w:rPr>
        <w:t>Survival of Representations and Warranties    </w:t>
      </w:r>
      <w:hyperlink w:anchor="i1af95870ab1e4d90b56c2d32f098e44a_48">
        <w:r>
          <w:rPr>
            <w:rStyle w:val="InternetLink"/>
            <w:rFonts w:ascii="Times New Roman;serif" w:hAnsi="Times New Roman;serif"/>
            <w:b w:val="false"/>
            <w:strike w:val="false"/>
            <w:dstrike w:val="false"/>
            <w:color w:val="000000"/>
            <w:sz w:val="22"/>
            <w:u w:val="none"/>
            <w:effect w:val="none"/>
          </w:rPr>
          <w:t>155</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11.12</w:t>
      </w:r>
      <w:r>
        <w:rPr>
          <w:color w:val="000000"/>
        </w:rPr>
        <w:t>    </w:t>
      </w:r>
      <w:r>
        <w:rPr>
          <w:rFonts w:ascii="Times New Roman;serif" w:hAnsi="Times New Roman;serif"/>
          <w:b w:val="false"/>
          <w:color w:val="000000"/>
          <w:sz w:val="22"/>
        </w:rPr>
        <w:t>Severability    </w:t>
      </w:r>
      <w:hyperlink w:anchor="i1af95870ab1e4d90b56c2d32f098e44a_48">
        <w:r>
          <w:rPr>
            <w:rStyle w:val="InternetLink"/>
            <w:rFonts w:ascii="Times New Roman;serif" w:hAnsi="Times New Roman;serif"/>
            <w:b w:val="false"/>
            <w:strike w:val="false"/>
            <w:dstrike w:val="false"/>
            <w:color w:val="000000"/>
            <w:sz w:val="22"/>
            <w:u w:val="none"/>
            <w:effect w:val="none"/>
          </w:rPr>
          <w:t>155</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11.13</w:t>
      </w:r>
      <w:r>
        <w:rPr>
          <w:color w:val="000000"/>
        </w:rPr>
        <w:t>    </w:t>
      </w:r>
      <w:r>
        <w:rPr>
          <w:rFonts w:ascii="Times New Roman;serif" w:hAnsi="Times New Roman;serif"/>
          <w:b w:val="false"/>
          <w:color w:val="000000"/>
          <w:sz w:val="22"/>
        </w:rPr>
        <w:t>Replacement of Lenders    </w:t>
      </w:r>
      <w:hyperlink w:anchor="i1af95870ab1e4d90b56c2d32f098e44a_48">
        <w:r>
          <w:rPr>
            <w:rStyle w:val="InternetLink"/>
            <w:rFonts w:ascii="Times New Roman;serif" w:hAnsi="Times New Roman;serif"/>
            <w:b w:val="false"/>
            <w:strike w:val="false"/>
            <w:dstrike w:val="false"/>
            <w:color w:val="000000"/>
            <w:sz w:val="22"/>
            <w:u w:val="none"/>
            <w:effect w:val="none"/>
          </w:rPr>
          <w:t>156</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11.14</w:t>
      </w:r>
      <w:r>
        <w:rPr>
          <w:color w:val="000000"/>
        </w:rPr>
        <w:t>    </w:t>
      </w:r>
      <w:r>
        <w:rPr>
          <w:rFonts w:ascii="Times New Roman;serif" w:hAnsi="Times New Roman;serif"/>
          <w:b w:val="false"/>
          <w:color w:val="000000"/>
          <w:sz w:val="22"/>
        </w:rPr>
        <w:t>Governing Law; Jurisdiction; Etc    </w:t>
      </w:r>
      <w:hyperlink w:anchor="i1af95870ab1e4d90b56c2d32f098e44a_48">
        <w:r>
          <w:rPr>
            <w:rStyle w:val="InternetLink"/>
            <w:rFonts w:ascii="Times New Roman;serif" w:hAnsi="Times New Roman;serif"/>
            <w:b w:val="false"/>
            <w:strike w:val="false"/>
            <w:dstrike w:val="false"/>
            <w:color w:val="000000"/>
            <w:sz w:val="22"/>
            <w:u w:val="none"/>
            <w:effect w:val="none"/>
          </w:rPr>
          <w:t>157</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11.15</w:t>
      </w:r>
      <w:r>
        <w:rPr>
          <w:color w:val="000000"/>
        </w:rPr>
        <w:t>    </w:t>
      </w:r>
      <w:r>
        <w:rPr>
          <w:rFonts w:ascii="Times New Roman;serif" w:hAnsi="Times New Roman;serif"/>
          <w:b w:val="false"/>
          <w:color w:val="000000"/>
          <w:sz w:val="22"/>
        </w:rPr>
        <w:t>Waiver of Jury Trial    </w:t>
      </w:r>
      <w:hyperlink w:anchor="i1af95870ab1e4d90b56c2d32f098e44a_48">
        <w:r>
          <w:rPr>
            <w:rStyle w:val="InternetLink"/>
            <w:rFonts w:ascii="Times New Roman;serif" w:hAnsi="Times New Roman;serif"/>
            <w:b w:val="false"/>
            <w:strike w:val="false"/>
            <w:dstrike w:val="false"/>
            <w:color w:val="000000"/>
            <w:sz w:val="22"/>
            <w:u w:val="none"/>
            <w:effect w:val="none"/>
          </w:rPr>
          <w:t>158</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11.16</w:t>
      </w:r>
      <w:r>
        <w:rPr>
          <w:color w:val="000000"/>
        </w:rPr>
        <w:t>    </w:t>
      </w:r>
      <w:r>
        <w:rPr>
          <w:rFonts w:ascii="Times New Roman;serif" w:hAnsi="Times New Roman;serif"/>
          <w:b w:val="false"/>
          <w:color w:val="000000"/>
          <w:sz w:val="22"/>
        </w:rPr>
        <w:t>Subordination    </w:t>
      </w:r>
      <w:hyperlink w:anchor="i1af95870ab1e4d90b56c2d32f098e44a_48">
        <w:r>
          <w:rPr>
            <w:rStyle w:val="InternetLink"/>
            <w:rFonts w:ascii="Times New Roman;serif" w:hAnsi="Times New Roman;serif"/>
            <w:b w:val="false"/>
            <w:strike w:val="false"/>
            <w:dstrike w:val="false"/>
            <w:color w:val="000000"/>
            <w:sz w:val="22"/>
            <w:u w:val="none"/>
            <w:effect w:val="none"/>
          </w:rPr>
          <w:t>158</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11.17</w:t>
      </w:r>
      <w:r>
        <w:rPr>
          <w:color w:val="000000"/>
        </w:rPr>
        <w:t>    </w:t>
      </w:r>
      <w:r>
        <w:rPr>
          <w:rFonts w:ascii="Times New Roman;serif" w:hAnsi="Times New Roman;serif"/>
          <w:b w:val="false"/>
          <w:color w:val="000000"/>
          <w:sz w:val="22"/>
        </w:rPr>
        <w:t>No Advisory or Fiduciary Responsibility    </w:t>
      </w:r>
      <w:hyperlink w:anchor="i1af95870ab1e4d90b56c2d32f098e44a_48">
        <w:r>
          <w:rPr>
            <w:rStyle w:val="InternetLink"/>
            <w:rFonts w:ascii="Times New Roman;serif" w:hAnsi="Times New Roman;serif"/>
            <w:b w:val="false"/>
            <w:strike w:val="false"/>
            <w:dstrike w:val="false"/>
            <w:color w:val="000000"/>
            <w:sz w:val="22"/>
            <w:u w:val="none"/>
            <w:effect w:val="none"/>
          </w:rPr>
          <w:t>158</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11.18</w:t>
      </w:r>
      <w:r>
        <w:rPr>
          <w:color w:val="000000"/>
        </w:rPr>
        <w:t>    </w:t>
      </w:r>
      <w:r>
        <w:rPr>
          <w:rFonts w:ascii="Times New Roman;serif" w:hAnsi="Times New Roman;serif"/>
          <w:b w:val="false"/>
          <w:color w:val="000000"/>
          <w:sz w:val="22"/>
        </w:rPr>
        <w:t>Electronic Execution; Electronic Records; Counterparts    </w:t>
      </w:r>
      <w:hyperlink w:anchor="i1af95870ab1e4d90b56c2d32f098e44a_48">
        <w:r>
          <w:rPr>
            <w:rStyle w:val="InternetLink"/>
            <w:rFonts w:ascii="Times New Roman;serif" w:hAnsi="Times New Roman;serif"/>
            <w:b w:val="false"/>
            <w:strike w:val="false"/>
            <w:dstrike w:val="false"/>
            <w:color w:val="000000"/>
            <w:sz w:val="22"/>
            <w:u w:val="none"/>
            <w:effect w:val="none"/>
          </w:rPr>
          <w:t>159</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11.19</w:t>
      </w:r>
      <w:r>
        <w:rPr>
          <w:color w:val="000000"/>
        </w:rPr>
        <w:t>    </w:t>
      </w:r>
      <w:r>
        <w:rPr>
          <w:rFonts w:ascii="Times New Roman;serif" w:hAnsi="Times New Roman;serif"/>
          <w:b w:val="false"/>
          <w:color w:val="000000"/>
          <w:sz w:val="22"/>
        </w:rPr>
        <w:t>USA Patriot Act Notice    </w:t>
      </w:r>
      <w:hyperlink w:anchor="i1af95870ab1e4d90b56c2d32f098e44a_48">
        <w:r>
          <w:rPr>
            <w:rStyle w:val="InternetLink"/>
            <w:rFonts w:ascii="Times New Roman;serif" w:hAnsi="Times New Roman;serif"/>
            <w:b w:val="false"/>
            <w:strike w:val="false"/>
            <w:dstrike w:val="false"/>
            <w:color w:val="000000"/>
            <w:sz w:val="22"/>
            <w:u w:val="none"/>
            <w:effect w:val="none"/>
          </w:rPr>
          <w:t>160</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11.20</w:t>
      </w:r>
      <w:r>
        <w:rPr>
          <w:color w:val="000000"/>
        </w:rPr>
        <w:t>    </w:t>
      </w:r>
      <w:r>
        <w:rPr>
          <w:rFonts w:ascii="Times New Roman;serif" w:hAnsi="Times New Roman;serif"/>
          <w:b w:val="false"/>
          <w:color w:val="000000"/>
          <w:sz w:val="22"/>
        </w:rPr>
        <w:t>Acknowledgement and Consent to Bail-In of Affected Financial Institutions    </w:t>
      </w:r>
      <w:hyperlink w:anchor="i1af95870ab1e4d90b56c2d32f098e44a_48">
        <w:r>
          <w:rPr>
            <w:rStyle w:val="InternetLink"/>
            <w:rFonts w:ascii="Times New Roman;serif" w:hAnsi="Times New Roman;serif"/>
            <w:b w:val="false"/>
            <w:strike w:val="false"/>
            <w:dstrike w:val="false"/>
            <w:color w:val="000000"/>
            <w:sz w:val="22"/>
            <w:u w:val="none"/>
            <w:effect w:val="none"/>
          </w:rPr>
          <w:t>160</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11.21</w:t>
      </w:r>
      <w:r>
        <w:rPr>
          <w:color w:val="000000"/>
        </w:rPr>
        <w:t>    </w:t>
      </w:r>
      <w:r>
        <w:rPr>
          <w:rFonts w:ascii="Times New Roman;serif" w:hAnsi="Times New Roman;serif"/>
          <w:b w:val="false"/>
          <w:color w:val="000000"/>
          <w:sz w:val="22"/>
        </w:rPr>
        <w:t>Acknowledgement Regarding Any Supported QFCs    </w:t>
      </w:r>
      <w:hyperlink w:anchor="i1af95870ab1e4d90b56c2d32f098e44a_48">
        <w:r>
          <w:rPr>
            <w:rStyle w:val="InternetLink"/>
            <w:rFonts w:ascii="Times New Roman;serif" w:hAnsi="Times New Roman;serif"/>
            <w:b w:val="false"/>
            <w:strike w:val="false"/>
            <w:dstrike w:val="false"/>
            <w:color w:val="000000"/>
            <w:sz w:val="22"/>
            <w:u w:val="none"/>
            <w:effect w:val="none"/>
          </w:rPr>
          <w:t>161</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11.22</w:t>
      </w:r>
      <w:r>
        <w:rPr>
          <w:color w:val="000000"/>
        </w:rPr>
        <w:t>    </w:t>
      </w:r>
      <w:r>
        <w:rPr>
          <w:rFonts w:ascii="Times New Roman;serif" w:hAnsi="Times New Roman;serif"/>
          <w:b w:val="false"/>
          <w:color w:val="000000"/>
          <w:sz w:val="22"/>
        </w:rPr>
        <w:t>Time of the Essence    </w:t>
      </w:r>
      <w:hyperlink w:anchor="i1af95870ab1e4d90b56c2d32f098e44a_48">
        <w:r>
          <w:rPr>
            <w:rStyle w:val="InternetLink"/>
            <w:rFonts w:ascii="Times New Roman;serif" w:hAnsi="Times New Roman;serif"/>
            <w:b w:val="false"/>
            <w:strike w:val="false"/>
            <w:dstrike w:val="false"/>
            <w:color w:val="000000"/>
            <w:sz w:val="22"/>
            <w:u w:val="none"/>
            <w:effect w:val="none"/>
          </w:rPr>
          <w:t>161</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11.23</w:t>
      </w:r>
      <w:r>
        <w:rPr>
          <w:color w:val="000000"/>
        </w:rPr>
        <w:t>    </w:t>
      </w:r>
      <w:r>
        <w:rPr>
          <w:rFonts w:ascii="Times New Roman;serif" w:hAnsi="Times New Roman;serif"/>
          <w:b w:val="false"/>
          <w:color w:val="000000"/>
          <w:sz w:val="22"/>
        </w:rPr>
        <w:t>Judgment Currency    </w:t>
      </w:r>
      <w:hyperlink w:anchor="i1af95870ab1e4d90b56c2d32f098e44a_48">
        <w:r>
          <w:rPr>
            <w:rStyle w:val="InternetLink"/>
            <w:rFonts w:ascii="Times New Roman;serif" w:hAnsi="Times New Roman;serif"/>
            <w:b w:val="false"/>
            <w:strike w:val="false"/>
            <w:dstrike w:val="false"/>
            <w:color w:val="000000"/>
            <w:sz w:val="22"/>
            <w:u w:val="none"/>
            <w:effect w:val="none"/>
          </w:rPr>
          <w:t>161</w:t>
        </w:r>
      </w:hyperlink>
    </w:p>
    <w:p>
      <w:pPr>
        <w:pStyle w:val="TextBody"/>
        <w:bidi w:val="0"/>
        <w:spacing w:lineRule="auto" w:line="288"/>
        <w:ind w:left="0" w:right="0" w:hanging="720"/>
        <w:jc w:val="left"/>
        <w:rPr/>
      </w:pPr>
      <w:r>
        <w:rPr>
          <w:rFonts w:ascii="Times New Roman;serif" w:hAnsi="Times New Roman;serif"/>
          <w:b w:val="false"/>
          <w:color w:val="000000"/>
          <w:sz w:val="22"/>
        </w:rPr>
        <w:t>11.24</w:t>
      </w:r>
      <w:r>
        <w:rPr>
          <w:color w:val="000000"/>
        </w:rPr>
        <w:t>    </w:t>
      </w:r>
      <w:r>
        <w:rPr>
          <w:rFonts w:ascii="Times New Roman;serif" w:hAnsi="Times New Roman;serif"/>
          <w:b w:val="false"/>
          <w:color w:val="000000"/>
          <w:sz w:val="22"/>
        </w:rPr>
        <w:t>ENTIRE AGREEMENT    </w:t>
      </w:r>
      <w:hyperlink w:anchor="i1af95870ab1e4d90b56c2d32f098e44a_48">
        <w:r>
          <w:rPr>
            <w:rStyle w:val="InternetLink"/>
            <w:rFonts w:ascii="Times New Roman;serif" w:hAnsi="Times New Roman;serif"/>
            <w:b w:val="false"/>
            <w:strike w:val="false"/>
            <w:dstrike w:val="false"/>
            <w:color w:val="000000"/>
            <w:sz w:val="22"/>
            <w:u w:val="none"/>
            <w:effect w:val="none"/>
          </w:rPr>
          <w:t>162</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02285"/>
                <wp:effectExtent l="0" t="0" r="0" b="0"/>
                <wp:wrapNone/>
                <wp:docPr id="33" name="Frame33"/>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v</w:t>
                            </w:r>
                          </w:p>
                          <w:p>
                            <w:pPr>
                              <w:pStyle w:val="TextBody"/>
                              <w:bidi w:val="0"/>
                              <w:spacing w:lineRule="atLeast" w:line="180" w:before="0" w:after="0"/>
                              <w:jc w:val="left"/>
                              <w:rPr>
                                <w:rFonts w:ascii="Arial;sans-serif" w:hAnsi="Arial;sans-serif"/>
                                <w:b w:val="false"/>
                                <w:color w:val="000000"/>
                                <w:sz w:val="16"/>
                              </w:rPr>
                            </w:pPr>
                            <w:r>
                              <w:rPr>
                                <w:rFonts w:ascii="Arial;sans-serif" w:hAnsi="Arial;sans-serif"/>
                                <w:b w:val="false"/>
                                <w:color w:val="000000"/>
                                <w:sz w:val="16"/>
                              </w:rPr>
                              <w:t>4927-4929-5287, v.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v</w:t>
                      </w:r>
                    </w:p>
                    <w:p>
                      <w:pPr>
                        <w:pStyle w:val="TextBody"/>
                        <w:bidi w:val="0"/>
                        <w:spacing w:lineRule="atLeast" w:line="180" w:before="0" w:after="0"/>
                        <w:jc w:val="left"/>
                        <w:rPr>
                          <w:rFonts w:ascii="Arial;sans-serif" w:hAnsi="Arial;sans-serif"/>
                          <w:b w:val="false"/>
                          <w:color w:val="000000"/>
                          <w:sz w:val="16"/>
                        </w:rPr>
                      </w:pPr>
                      <w:r>
                        <w:rPr>
                          <w:rFonts w:ascii="Arial;sans-serif" w:hAnsi="Arial;sans-serif"/>
                          <w:b w:val="false"/>
                          <w:color w:val="000000"/>
                          <w:sz w:val="16"/>
                        </w:rPr>
                        <w:t>4927-4929-5287, v. 14</w:t>
                      </w:r>
                    </w:p>
                  </w:txbxContent>
                </v:textbox>
                <w10:wrap type="none"/>
              </v:rect>
            </w:pict>
          </mc:Fallback>
        </mc:AlternateContent>
      </w:r>
    </w:p>
    <w:p>
      <w:pPr>
        <w:pStyle w:val="TextBody"/>
        <w:bidi w:val="0"/>
        <w:spacing w:lineRule="auto" w:line="288" w:before="0" w:after="0"/>
        <w:ind w:left="0" w:right="0" w:hanging="720"/>
        <w:jc w:val="left"/>
        <w:rPr/>
      </w:pPr>
      <w:r>
        <w:rPr>
          <w:rFonts w:ascii="Times New Roman;serif" w:hAnsi="Times New Roman;serif"/>
          <w:b w:val="false"/>
          <w:color w:val="000000"/>
          <w:sz w:val="22"/>
        </w:rPr>
        <w:t>11.25</w:t>
      </w:r>
      <w:r>
        <w:rPr>
          <w:color w:val="000000"/>
        </w:rPr>
        <w:t>    </w:t>
      </w:r>
      <w:r>
        <w:rPr>
          <w:rFonts w:ascii="Times New Roman;serif" w:hAnsi="Times New Roman;serif"/>
          <w:b w:val="false"/>
          <w:color w:val="000000"/>
          <w:sz w:val="22"/>
        </w:rPr>
        <w:t>Borrower Representative    </w:t>
      </w:r>
      <w:hyperlink w:anchor="i1af95870ab1e4d90b56c2d32f098e44a_48">
        <w:r>
          <w:rPr>
            <w:rStyle w:val="InternetLink"/>
            <w:rFonts w:ascii="Times New Roman;serif" w:hAnsi="Times New Roman;serif"/>
            <w:b w:val="false"/>
            <w:strike w:val="false"/>
            <w:dstrike w:val="false"/>
            <w:color w:val="000000"/>
            <w:sz w:val="22"/>
            <w:u w:val="none"/>
            <w:effect w:val="none"/>
          </w:rPr>
          <w:t>162</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11.26</w:t>
      </w:r>
      <w:r>
        <w:rPr>
          <w:color w:val="000000"/>
        </w:rPr>
        <w:t>    </w:t>
      </w:r>
      <w:r>
        <w:rPr>
          <w:rFonts w:ascii="Times New Roman;serif" w:hAnsi="Times New Roman;serif"/>
          <w:b w:val="false"/>
          <w:color w:val="000000"/>
          <w:sz w:val="22"/>
        </w:rPr>
        <w:t>Amendment and Restatement of Existing Credit Agreement    </w:t>
      </w:r>
      <w:hyperlink w:anchor="i1af95870ab1e4d90b56c2d32f098e44a_48">
        <w:r>
          <w:rPr>
            <w:rStyle w:val="InternetLink"/>
            <w:rFonts w:ascii="Times New Roman;serif" w:hAnsi="Times New Roman;serif"/>
            <w:b w:val="false"/>
            <w:strike w:val="false"/>
            <w:dstrike w:val="false"/>
            <w:color w:val="000000"/>
            <w:sz w:val="22"/>
            <w:u w:val="none"/>
            <w:effect w:val="none"/>
          </w:rPr>
          <w:t>163</w:t>
        </w:r>
      </w:hyperlink>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02285"/>
                <wp:effectExtent l="0" t="0" r="0" b="0"/>
                <wp:wrapNone/>
                <wp:docPr id="34" name="Frame34"/>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vi</w:t>
                            </w:r>
                          </w:p>
                          <w:p>
                            <w:pPr>
                              <w:pStyle w:val="TextBody"/>
                              <w:bidi w:val="0"/>
                              <w:spacing w:lineRule="atLeast" w:line="180" w:before="0" w:after="0"/>
                              <w:jc w:val="left"/>
                              <w:rPr>
                                <w:rFonts w:ascii="Arial;sans-serif" w:hAnsi="Arial;sans-serif"/>
                                <w:b w:val="false"/>
                                <w:color w:val="000000"/>
                                <w:sz w:val="16"/>
                              </w:rPr>
                            </w:pPr>
                            <w:r>
                              <w:rPr>
                                <w:rFonts w:ascii="Arial;sans-serif" w:hAnsi="Arial;sans-serif"/>
                                <w:b w:val="false"/>
                                <w:color w:val="000000"/>
                                <w:sz w:val="16"/>
                              </w:rPr>
                              <w:t>4927-4929-5287, v.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vi</w:t>
                      </w:r>
                    </w:p>
                    <w:p>
                      <w:pPr>
                        <w:pStyle w:val="TextBody"/>
                        <w:bidi w:val="0"/>
                        <w:spacing w:lineRule="atLeast" w:line="180" w:before="0" w:after="0"/>
                        <w:jc w:val="left"/>
                        <w:rPr>
                          <w:rFonts w:ascii="Arial;sans-serif" w:hAnsi="Arial;sans-serif"/>
                          <w:b w:val="false"/>
                          <w:color w:val="000000"/>
                          <w:sz w:val="16"/>
                        </w:rPr>
                      </w:pPr>
                      <w:r>
                        <w:rPr>
                          <w:rFonts w:ascii="Arial;sans-serif" w:hAnsi="Arial;sans-serif"/>
                          <w:b w:val="false"/>
                          <w:color w:val="000000"/>
                          <w:sz w:val="16"/>
                        </w:rPr>
                        <w:t>4927-4929-5287, v. 14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BORROWERS PREPARED SCHEDULES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1.01(c)    Responsible Officers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5.10    Insurance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5.12    Pension Plans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5.21(a)    Subsidiaries, Joint Ventures, Partnerships and Other Equity Investments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5.21(b)    Loan Parties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7.01    Existing Liens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7.02    Existing Indebtedness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7.03    Existing Investments</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ADMINISTRATIVE AGENT PREPARED SCHEDULES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1.01(a)     Certain Addresses for Notices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1.01(b)     Commitments and Applicable Percentages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1.01(d)     Existing Letters of Credit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2.01    Swingline Commitments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2.03    Letter of Credit Commitments</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EXHIBITS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A    Form of Administrative Questionnaire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B    Form of Assignment and Assumption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C    Form of Compliance Certificate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D    Form of Joinder Agreement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E    Form of Loan Notice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F    Form of Permitted Acquisition Certificate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G    Form of Revolving Note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H    Form of Solvency Certificate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I    Form of Swingline Loan Notice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J    Form of Officer’s Certificate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K    Form of Term Note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L    Forms of U.S. Tax Compliance Certificates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M    Form of Funding Indemnity Letter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N    Form of Financial Condition Certificate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O    Form of Notice of Loan Prepayment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P    Form of Letter of Credit Report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Q    Lender Party Designation Notice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R    Form of Notice of Additional L/C Issuer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02285"/>
                <wp:effectExtent l="0" t="0" r="0" b="0"/>
                <wp:wrapNone/>
                <wp:docPr id="35" name="Frame35"/>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vii</w:t>
                            </w:r>
                          </w:p>
                          <w:p>
                            <w:pPr>
                              <w:pStyle w:val="TextBody"/>
                              <w:bidi w:val="0"/>
                              <w:spacing w:lineRule="atLeast" w:line="180" w:before="0" w:after="0"/>
                              <w:jc w:val="left"/>
                              <w:rPr>
                                <w:rFonts w:ascii="Arial;sans-serif" w:hAnsi="Arial;sans-serif"/>
                                <w:b w:val="false"/>
                                <w:color w:val="000000"/>
                                <w:sz w:val="16"/>
                              </w:rPr>
                            </w:pPr>
                            <w:r>
                              <w:rPr>
                                <w:rFonts w:ascii="Arial;sans-serif" w:hAnsi="Arial;sans-serif"/>
                                <w:b w:val="false"/>
                                <w:color w:val="000000"/>
                                <w:sz w:val="16"/>
                              </w:rPr>
                              <w:t>4927-4929-5287, v.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vii</w:t>
                      </w:r>
                    </w:p>
                    <w:p>
                      <w:pPr>
                        <w:pStyle w:val="TextBody"/>
                        <w:bidi w:val="0"/>
                        <w:spacing w:lineRule="atLeast" w:line="180" w:before="0" w:after="0"/>
                        <w:jc w:val="left"/>
                        <w:rPr>
                          <w:rFonts w:ascii="Arial;sans-serif" w:hAnsi="Arial;sans-serif"/>
                          <w:b w:val="false"/>
                          <w:color w:val="000000"/>
                          <w:sz w:val="16"/>
                        </w:rPr>
                      </w:pPr>
                      <w:r>
                        <w:rPr>
                          <w:rFonts w:ascii="Arial;sans-serif" w:hAnsi="Arial;sans-serif"/>
                          <w:b w:val="false"/>
                          <w:color w:val="000000"/>
                          <w:sz w:val="16"/>
                        </w:rPr>
                        <w:t>4927-4929-5287, v. 14</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AMENDED AND RESTATED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AMENDED AND RESTATED CREDIT AGREEMENT is entered into as of July 31, 2026, among CRA INTERNATIONAL, INC., a Massachusetts corporation (the “</w:t>
      </w:r>
      <w:r>
        <w:rPr>
          <w:rFonts w:ascii="Times New Roman;serif" w:hAnsi="Times New Roman;serif"/>
          <w:b w:val="false"/>
          <w:i/>
          <w:color w:val="000000"/>
          <w:sz w:val="22"/>
          <w:u w:val="single"/>
        </w:rPr>
        <w:t>Company</w:t>
      </w:r>
      <w:r>
        <w:rPr>
          <w:color w:val="000000"/>
        </w:rPr>
        <w:t>”</w:t>
      </w:r>
      <w:r>
        <w:rPr>
          <w:rFonts w:ascii="Times New Roman;serif" w:hAnsi="Times New Roman;serif"/>
          <w:b w:val="false"/>
          <w:color w:val="000000"/>
          <w:sz w:val="22"/>
        </w:rPr>
        <w:t>), CRA INTERNATIONAL (UK) LIMITED, a private limited company incorporated in the United Kingdom (registered number 04007726) (the “</w:t>
      </w:r>
      <w:r>
        <w:rPr>
          <w:rFonts w:ascii="Times New Roman;serif" w:hAnsi="Times New Roman;serif"/>
          <w:b w:val="false"/>
          <w:i/>
          <w:color w:val="000000"/>
          <w:sz w:val="22"/>
          <w:u w:val="single"/>
        </w:rPr>
        <w:t>UK Borrower</w:t>
      </w:r>
      <w:r>
        <w:rPr>
          <w:color w:val="000000"/>
        </w:rPr>
        <w:t>”</w:t>
      </w:r>
      <w:r>
        <w:rPr>
          <w:rFonts w:ascii="Times New Roman;serif" w:hAnsi="Times New Roman;serif"/>
          <w:b w:val="false"/>
          <w:color w:val="000000"/>
          <w:sz w:val="22"/>
        </w:rPr>
        <w:t>), CRA INTERNATIONAL LIMITED, a company organized under the laws of Ontario (the “</w:t>
      </w:r>
      <w:r>
        <w:rPr>
          <w:rFonts w:ascii="Times New Roman;serif" w:hAnsi="Times New Roman;serif"/>
          <w:b w:val="false"/>
          <w:i/>
          <w:color w:val="000000"/>
          <w:sz w:val="22"/>
          <w:u w:val="single"/>
        </w:rPr>
        <w:t>Canadian Borrower</w:t>
      </w:r>
      <w:r>
        <w:rPr>
          <w:color w:val="000000"/>
        </w:rPr>
        <w:t>”</w:t>
      </w:r>
      <w:r>
        <w:rPr>
          <w:rFonts w:ascii="Times New Roman;serif" w:hAnsi="Times New Roman;serif"/>
          <w:b w:val="false"/>
          <w:color w:val="000000"/>
          <w:sz w:val="22"/>
        </w:rPr>
        <w:t>, and together with the UK Borrower, each a “</w:t>
      </w:r>
      <w:r>
        <w:rPr>
          <w:rFonts w:ascii="Times New Roman;serif" w:hAnsi="Times New Roman;serif"/>
          <w:b w:val="false"/>
          <w:i/>
          <w:color w:val="000000"/>
          <w:sz w:val="22"/>
          <w:u w:val="single"/>
        </w:rPr>
        <w:t>Designated Borrower</w:t>
      </w:r>
      <w:r>
        <w:rPr>
          <w:color w:val="000000"/>
        </w:rPr>
        <w:t>”</w:t>
      </w:r>
      <w:r>
        <w:rPr>
          <w:rFonts w:ascii="Times New Roman;serif" w:hAnsi="Times New Roman;serif"/>
          <w:b w:val="false"/>
          <w:color w:val="000000"/>
          <w:sz w:val="22"/>
        </w:rPr>
        <w:t>, and collectively the “</w:t>
      </w:r>
      <w:r>
        <w:rPr>
          <w:rFonts w:ascii="Times New Roman;serif" w:hAnsi="Times New Roman;serif"/>
          <w:b w:val="false"/>
          <w:i/>
          <w:color w:val="000000"/>
          <w:sz w:val="22"/>
          <w:u w:val="single"/>
        </w:rPr>
        <w:t>Designated Borrowers</w:t>
      </w:r>
      <w:r>
        <w:rPr>
          <w:color w:val="000000"/>
        </w:rPr>
        <w:t>”</w:t>
      </w:r>
      <w:r>
        <w:rPr>
          <w:rFonts w:ascii="Times New Roman;serif" w:hAnsi="Times New Roman;serif"/>
          <w:b w:val="false"/>
          <w:color w:val="000000"/>
          <w:sz w:val="22"/>
        </w:rPr>
        <w:t>; the Designated Borrowers together with the Company, each a “</w:t>
      </w:r>
      <w:r>
        <w:rPr>
          <w:rFonts w:ascii="Times New Roman;serif" w:hAnsi="Times New Roman;serif"/>
          <w:b w:val="false"/>
          <w:i/>
          <w:color w:val="000000"/>
          <w:sz w:val="22"/>
          <w:u w:val="single"/>
        </w:rPr>
        <w:t>Borrower</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i/>
          <w:color w:val="000000"/>
          <w:sz w:val="22"/>
          <w:u w:val="single"/>
        </w:rPr>
        <w:t>Borrowers</w:t>
      </w:r>
      <w:r>
        <w:rPr>
          <w:color w:val="000000"/>
        </w:rPr>
        <w:t>”</w:t>
      </w:r>
      <w:r>
        <w:rPr>
          <w:rFonts w:ascii="Times New Roman;serif" w:hAnsi="Times New Roman;serif"/>
          <w:b w:val="false"/>
          <w:color w:val="000000"/>
          <w:sz w:val="22"/>
        </w:rPr>
        <w:t>), the Lenders (defined herein), BANK OF AMERICA, N.A., as Administrative Agent, Swingline Lender and an L/C Issuer, and L/C Issuers from time to time party hereto.</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PRELIMINARY STATEMENTS: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Borrowers have requested that the Lenders amend, restate and extend the Existing Credit Agreement (defined herein), and the Lenders are willing to do so on the terms and subject to the conditions set forth herein.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covenants and agreements herein contained, the parties hereto covenant and agree that on the Closing Date, the Existing Credit Agreement shall be amended and restated in its entirety by this Agreement, the terms of which are as follows:</w:t>
      </w:r>
    </w:p>
    <w:p>
      <w:pPr>
        <w:pStyle w:val="TextBody"/>
        <w:bidi w:val="0"/>
        <w:spacing w:lineRule="auto" w:line="240" w:before="0" w:after="240"/>
        <w:jc w:val="center"/>
        <w:rPr/>
      </w:pPr>
      <w:r>
        <w:rPr>
          <w:rFonts w:ascii="Times New Roman;serif" w:hAnsi="Times New Roman;serif"/>
          <w:b/>
          <w:color w:val="000000"/>
          <w:sz w:val="22"/>
        </w:rPr>
        <w:t>Article I</w:t>
      </w:r>
      <w:r>
        <w:rPr>
          <w:rFonts w:ascii="Times New Roman;serif" w:hAnsi="Times New Roman;serif"/>
          <w:b/>
          <w:color w:val="000000"/>
          <w:sz w:val="22"/>
        </w:rPr>
        <w:br/>
        <w:br/>
        <w:t>DEFINITIONS AND ACCOUNTING TERMS</w:t>
      </w:r>
    </w:p>
    <w:p>
      <w:pPr>
        <w:pStyle w:val="TextBody"/>
        <w:bidi w:val="0"/>
        <w:spacing w:lineRule="auto" w:line="240" w:before="0" w:after="240"/>
        <w:ind w:left="0" w:right="0" w:firstLine="720"/>
        <w:jc w:val="both"/>
        <w:rPr/>
      </w:pPr>
      <w:r>
        <w:rPr>
          <w:rFonts w:ascii="Times New Roman;serif" w:hAnsi="Times New Roman;serif"/>
          <w:b/>
          <w:color w:val="000000"/>
          <w:sz w:val="22"/>
        </w:rPr>
        <w:t>1.01</w:t>
      </w:r>
      <w:r>
        <w:rPr>
          <w:rFonts w:ascii="Times New Roman;serif" w:hAnsi="Times New Roman;serif"/>
          <w:b/>
          <w:color w:val="000000"/>
          <w:sz w:val="22"/>
          <w:u w:val="single"/>
        </w:rPr>
        <w:t>Defined Terms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used in this Agreement, the following terms shall have the meanings set forth below: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Acquisition</w:t>
      </w:r>
      <w:r>
        <w:rPr>
          <w:color w:val="000000"/>
        </w:rPr>
        <w:t xml:space="preserve">” </w:t>
      </w:r>
      <w:r>
        <w:rPr>
          <w:rFonts w:ascii="Times New Roman;serif" w:hAnsi="Times New Roman;serif"/>
          <w:b w:val="false"/>
          <w:color w:val="000000"/>
          <w:sz w:val="22"/>
        </w:rPr>
        <w:t>means the acquisition, whether through a single transaction or a series of related transactions, of (a) a majority of the Voting Stock or other controlling ownership interest in another Person (including the purchase of an option, warrant or convertible or similar type security to acquire such a controlling interest at the time it becomes exercisable by the holder thereof), whether by purchase of such equity or other ownership interest or upon the exercise of an option or warrant for, or conversion of securities into, such equity or other ownership interest, or (b) assets of another Person which constitute all or substantially all of the assets of such Person or of a division, line of business or other business unit of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Additional Obligations</w:t>
      </w:r>
      <w:r>
        <w:rPr>
          <w:color w:val="000000"/>
        </w:rPr>
        <w:t xml:space="preserve">” </w:t>
      </w:r>
      <w:r>
        <w:rPr>
          <w:rFonts w:ascii="Times New Roman;serif" w:hAnsi="Times New Roman;serif"/>
          <w:b w:val="false"/>
          <w:color w:val="000000"/>
          <w:sz w:val="22"/>
        </w:rPr>
        <w:t>means (a) all obligations arising under Guaranteed Cash Management Agreements and (b) all out-of-pocket costs and expenses incurred in connection with enforcement and collection of the foregoing, including the reasonable and documented out-of-pocket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of any proceeding under any Debtor Relief Laws naming such Person as the debtor in such proceeding, regardless of whether such interest, expenses and fees are allowed claims in such proceeding; provided that Additional Obligations of a Loan Party shall exclude any Excluded Swap Obligations with respect to such Loan Party.</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25780"/>
                <wp:effectExtent l="0" t="0" r="0" b="0"/>
                <wp:wrapNone/>
                <wp:docPr id="36" name="Frame3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tLeast" w:line="180" w:before="0" w:after="0"/>
                              <w:jc w:val="left"/>
                              <w:rPr>
                                <w:color w:val="000000"/>
                              </w:rPr>
                            </w:pPr>
                            <w:r>
                              <w:rPr>
                                <w:color w:val="000000"/>
                              </w:rPr>
                              <w:t>    </w:t>
                            </w:r>
                            <w:r>
                              <w:rPr>
                                <w:rFonts w:ascii="Times New Roman;serif" w:hAnsi="Times New Roman;serif"/>
                                <w:b w:val="false"/>
                                <w:color w:val="000000"/>
                                <w:sz w:val="18"/>
                              </w:rPr>
                              <w:t>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0"/>
                        <w:jc w:val="left"/>
                        <w:rPr>
                          <w:color w:val="000000"/>
                        </w:rPr>
                      </w:pPr>
                      <w:r>
                        <w:rPr>
                          <w:color w:val="000000"/>
                        </w:rPr>
                        <w:t>    </w:t>
                      </w:r>
                      <w:r>
                        <w:rPr>
                          <w:rFonts w:ascii="Times New Roman;serif" w:hAnsi="Times New Roman;serif"/>
                          <w:b w:val="false"/>
                          <w:color w:val="000000"/>
                          <w:sz w:val="18"/>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Administrative Agent</w:t>
      </w:r>
      <w:r>
        <w:rPr>
          <w:color w:val="000000"/>
        </w:rPr>
        <w:t xml:space="preserve">” </w:t>
      </w:r>
      <w:r>
        <w:rPr>
          <w:rFonts w:ascii="Times New Roman;serif" w:hAnsi="Times New Roman;serif"/>
          <w:b w:val="false"/>
          <w:color w:val="000000"/>
          <w:sz w:val="22"/>
        </w:rPr>
        <w:t>means Bank of America (or any of its designated branch offices or affiliates) in its capacity as administrative agent under any of the Loan Documents, or any successor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Administrative Agent</w:t>
      </w:r>
      <w:r>
        <w:rPr>
          <w:color w:val="000000"/>
          <w:u w:val="single"/>
        </w:rPr>
        <w:t>’</w:t>
      </w:r>
      <w:r>
        <w:rPr>
          <w:rFonts w:ascii="Times New Roman;serif" w:hAnsi="Times New Roman;serif"/>
          <w:b w:val="false"/>
          <w:i/>
          <w:color w:val="000000"/>
          <w:sz w:val="22"/>
          <w:u w:val="single"/>
        </w:rPr>
        <w:t>s</w:t>
      </w:r>
      <w:r>
        <w:rPr>
          <w:color w:val="000000"/>
          <w:u w:val="single"/>
        </w:rPr>
        <w:t xml:space="preserve"> </w:t>
      </w:r>
      <w:r>
        <w:rPr>
          <w:rFonts w:ascii="Times New Roman;serif" w:hAnsi="Times New Roman;serif"/>
          <w:b w:val="false"/>
          <w:i/>
          <w:color w:val="000000"/>
          <w:sz w:val="22"/>
          <w:u w:val="single"/>
        </w:rPr>
        <w:t>Office</w:t>
      </w:r>
      <w:r>
        <w:rPr>
          <w:color w:val="000000"/>
        </w:rPr>
        <w:t xml:space="preserve">” </w:t>
      </w:r>
      <w:r>
        <w:rPr>
          <w:rFonts w:ascii="Times New Roman;serif" w:hAnsi="Times New Roman;serif"/>
          <w:b w:val="false"/>
          <w:color w:val="000000"/>
          <w:sz w:val="22"/>
        </w:rPr>
        <w:t xml:space="preserve">means, with respect to any currency, the Administrative Agent’s address and, as appropriate, account as set forth on </w:t>
      </w:r>
      <w:r>
        <w:rPr>
          <w:rFonts w:ascii="Times New Roman;serif" w:hAnsi="Times New Roman;serif"/>
          <w:b w:val="false"/>
          <w:color w:val="000000"/>
          <w:sz w:val="22"/>
          <w:u w:val="single"/>
        </w:rPr>
        <w:t>Schedule 1.01(a</w:t>
      </w:r>
      <w:r>
        <w:rPr>
          <w:rFonts w:ascii="Times New Roman;serif" w:hAnsi="Times New Roman;serif"/>
          <w:b w:val="false"/>
          <w:color w:val="000000"/>
          <w:sz w:val="22"/>
        </w:rPr>
        <w:t>) with respect to such currency, or such other address or account with respect to such currency as the Administrative Agent may from time to time notify the Borrowers and the Lenders.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Administrative Questionnaire</w:t>
      </w:r>
      <w:r>
        <w:rPr>
          <w:color w:val="000000"/>
        </w:rPr>
        <w:t xml:space="preserve">” </w:t>
      </w:r>
      <w:r>
        <w:rPr>
          <w:rFonts w:ascii="Times New Roman;serif" w:hAnsi="Times New Roman;serif"/>
          <w:b w:val="false"/>
          <w:color w:val="000000"/>
          <w:sz w:val="22"/>
        </w:rPr>
        <w:t xml:space="preserve">means an Administrative Questionnaire substantially in the form of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or any other form approved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Affected Financial Institution</w:t>
      </w:r>
      <w:r>
        <w:rPr>
          <w:color w:val="000000"/>
        </w:rPr>
        <w:t xml:space="preserve">” </w:t>
      </w:r>
      <w:r>
        <w:rPr>
          <w:rFonts w:ascii="Times New Roman;serif" w:hAnsi="Times New Roman;serif"/>
          <w:b w:val="false"/>
          <w:color w:val="000000"/>
          <w:sz w:val="22"/>
        </w:rPr>
        <w:t xml:space="preserve">means (a) any EEA Financial Institution or (b) any UK Financial Institution.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Affiliate</w:t>
      </w:r>
      <w:r>
        <w:rPr>
          <w:color w:val="000000"/>
        </w:rPr>
        <w:t xml:space="preserve">” </w:t>
      </w:r>
      <w:r>
        <w:rPr>
          <w:rFonts w:ascii="Times New Roman;serif" w:hAnsi="Times New Roman;serif"/>
          <w:b w:val="false"/>
          <w:color w:val="000000"/>
          <w:sz w:val="22"/>
        </w:rPr>
        <w:t>means, with respect to a specified Person, another Person that directly, or indirectly through one or more intermediaries, Controls or is Controlled by or is under common Control with the Person specified.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Aggregate Commitments</w:t>
      </w:r>
      <w:r>
        <w:rPr>
          <w:color w:val="000000"/>
        </w:rPr>
        <w:t xml:space="preserve">” </w:t>
      </w:r>
      <w:r>
        <w:rPr>
          <w:rFonts w:ascii="Times New Roman;serif" w:hAnsi="Times New Roman;serif"/>
          <w:b w:val="false"/>
          <w:color w:val="000000"/>
          <w:sz w:val="22"/>
        </w:rPr>
        <w:t>means the Commitments of all the Lenders.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Agreed Currency</w:t>
      </w:r>
      <w:r>
        <w:rPr>
          <w:color w:val="000000"/>
        </w:rPr>
        <w:t xml:space="preserve">” </w:t>
      </w:r>
      <w:r>
        <w:rPr>
          <w:rFonts w:ascii="Times New Roman;serif" w:hAnsi="Times New Roman;serif"/>
          <w:b w:val="false"/>
          <w:color w:val="000000"/>
          <w:sz w:val="22"/>
        </w:rPr>
        <w:t>means Dollars or any Alternative Currency,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Agreement</w:t>
      </w:r>
      <w:r>
        <w:rPr>
          <w:color w:val="000000"/>
        </w:rPr>
        <w:t xml:space="preserve">” </w:t>
      </w:r>
      <w:r>
        <w:rPr>
          <w:rFonts w:ascii="Times New Roman;serif" w:hAnsi="Times New Roman;serif"/>
          <w:b w:val="false"/>
          <w:color w:val="000000"/>
          <w:sz w:val="22"/>
        </w:rPr>
        <w:t>means this Amended and Restated Credit Agreement, including all schedules, exhibits and annexes 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Agreement Currency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11.23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Alternative Currency</w:t>
      </w:r>
      <w:r>
        <w:rPr>
          <w:color w:val="000000"/>
        </w:rPr>
        <w:t xml:space="preserve">” </w:t>
      </w:r>
      <w:r>
        <w:rPr>
          <w:rFonts w:ascii="Times New Roman;serif" w:hAnsi="Times New Roman;serif"/>
          <w:b w:val="false"/>
          <w:color w:val="000000"/>
          <w:sz w:val="22"/>
        </w:rPr>
        <w:t xml:space="preserve">means each of the following currencies: Euros, Sterling, Canadian Dollars, and Swiss Francs, together with each other currency (other than Dollars) that is approved in accordance with </w:t>
      </w:r>
      <w:r>
        <w:rPr>
          <w:rFonts w:ascii="Times New Roman;serif" w:hAnsi="Times New Roman;serif"/>
          <w:b w:val="false"/>
          <w:color w:val="000000"/>
          <w:sz w:val="22"/>
          <w:u w:val="single"/>
        </w:rPr>
        <w:t>Section 1.09</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for each Alternative Currency, such requested currency is an Eligible Currency.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Alternative Currency Daily Rate</w:t>
      </w:r>
      <w:r>
        <w:rPr>
          <w:color w:val="000000"/>
        </w:rPr>
        <w:t xml:space="preserve">” </w:t>
      </w:r>
      <w:r>
        <w:rPr>
          <w:rFonts w:ascii="Times New Roman;serif" w:hAnsi="Times New Roman;serif"/>
          <w:b w:val="false"/>
          <w:color w:val="000000"/>
          <w:sz w:val="22"/>
        </w:rPr>
        <w:t>means, for any day, with respect to any Credit Extension: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denominated in Sterling, the rate per annum equal to SONIA determined pursuant to the definition thereof plus the SONIA Adjustment;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denominated in Swiss Francs, the rate per annum equal to SARON determined pursuant to the definition thereof plus the SARON Adjustment;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    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relevant Lenders pursuant to </w:t>
      </w:r>
      <w:r>
        <w:rPr>
          <w:rFonts w:ascii="Times New Roman;serif" w:hAnsi="Times New Roman;serif"/>
          <w:b w:val="false"/>
          <w:color w:val="000000"/>
          <w:sz w:val="22"/>
          <w:u w:val="single"/>
        </w:rPr>
        <w:t>Section 1.09(a)</w:t>
      </w:r>
      <w:r>
        <w:rPr>
          <w:color w:val="000000"/>
        </w:rPr>
        <w:t xml:space="preserve"> </w:t>
      </w:r>
      <w:r>
        <w:rPr>
          <w:rFonts w:ascii="Times New Roman;serif" w:hAnsi="Times New Roman;serif"/>
          <w:b w:val="false"/>
          <w:color w:val="000000"/>
          <w:sz w:val="22"/>
        </w:rPr>
        <w:t xml:space="preserve">plus the adjustment (if any) determined by the Administrative Agent and the relevant Lenders pursuant to </w:t>
      </w:r>
      <w:r>
        <w:rPr>
          <w:rFonts w:ascii="Times New Roman;serif" w:hAnsi="Times New Roman;serif"/>
          <w:b w:val="false"/>
          <w:color w:val="000000"/>
          <w:sz w:val="22"/>
          <w:u w:val="single"/>
        </w:rPr>
        <w:t>Section 1.09(a</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85445"/>
                <wp:effectExtent l="0" t="0" r="0" b="0"/>
                <wp:wrapNone/>
                <wp:docPr id="37" name="Frame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 if any Alternative Currency Daily Rate shall be less than zero, such rate shall be deemed zero for purposes of this Agreement. Any change in an Alternative Currency Daily Rate shall be effective from and including the date of such change without further notice.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Alternative Currency Daily Rate Loan</w:t>
      </w:r>
      <w:r>
        <w:rPr>
          <w:color w:val="000000"/>
        </w:rPr>
        <w:t xml:space="preserve">” </w:t>
      </w:r>
      <w:r>
        <w:rPr>
          <w:rFonts w:ascii="Times New Roman;serif" w:hAnsi="Times New Roman;serif"/>
          <w:b w:val="false"/>
          <w:color w:val="000000"/>
          <w:sz w:val="22"/>
        </w:rPr>
        <w:t>means a Loan that bears interest at a rate based on the definition of “Alternative Currency Daily Rate.” All Alternative Currency Daily Rate Loans must be denominated in an Alternative Currency.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Alternative Currency Equivalent</w:t>
      </w:r>
      <w:r>
        <w:rPr>
          <w:color w:val="000000"/>
        </w:rPr>
        <w:t xml:space="preserve">” </w:t>
      </w:r>
      <w:r>
        <w:rPr>
          <w:rFonts w:ascii="Times New Roman;serif" w:hAnsi="Times New Roman;serif"/>
          <w:b w:val="false"/>
          <w:color w:val="000000"/>
          <w:sz w:val="22"/>
        </w:rPr>
        <w:t xml:space="preserve">means, at any time, with respect to any amount denominated in Dollars, the equivalent amount thereof in the applicable Alternative Currency as determined by the Administrative Agent or the L/C Issuers, as the case may be, by reference to Bloomberg (or such other publicly available service for displaying exchange rates), to be the exchange rate for the purchase of such Alternative Currency with Dollars at approximately 11:00 a.m. on the date two (2) Business Days prior to the date as of which the foreign exchange computation is made; </w:t>
      </w:r>
      <w:r>
        <w:rPr>
          <w:rFonts w:ascii="Times New Roman;serif" w:hAnsi="Times New Roman;serif"/>
          <w:b w:val="false"/>
          <w:i/>
          <w:color w:val="000000"/>
          <w:sz w:val="22"/>
        </w:rPr>
        <w:t>provided</w:t>
      </w:r>
      <w:r>
        <w:rPr>
          <w:rFonts w:ascii="Times New Roman;serif" w:hAnsi="Times New Roman;serif"/>
          <w:b w:val="false"/>
          <w:color w:val="000000"/>
          <w:sz w:val="22"/>
        </w:rPr>
        <w:t>, however, that if no such rate is available, the “Alternative Currency Equivalent” shall be determined by the Administrative Agent or the L/C Issuers, as the case may be, using any reasonable method of determination they deem appropriate in their sole discretion (and such determination shall be conclusive absent manifest error).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Alternative Currency Loan</w:t>
      </w:r>
      <w:r>
        <w:rPr>
          <w:color w:val="000000"/>
        </w:rPr>
        <w:t xml:space="preserve">” </w:t>
      </w:r>
      <w:r>
        <w:rPr>
          <w:rFonts w:ascii="Times New Roman;serif" w:hAnsi="Times New Roman;serif"/>
          <w:b w:val="false"/>
          <w:color w:val="000000"/>
          <w:sz w:val="22"/>
        </w:rPr>
        <w:t>means an Alternative Currency Daily Rate Loan or an Alternative Currency Term Rate Loan,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Alternative Currency Sublimit</w:t>
      </w:r>
      <w:r>
        <w:rPr>
          <w:color w:val="000000"/>
        </w:rPr>
        <w:t xml:space="preserve">” </w:t>
      </w:r>
      <w:r>
        <w:rPr>
          <w:rFonts w:ascii="Times New Roman;serif" w:hAnsi="Times New Roman;serif"/>
          <w:b w:val="false"/>
          <w:color w:val="000000"/>
          <w:sz w:val="22"/>
        </w:rPr>
        <w:t>means an amount equal to the lesser of the Aggregate Commitments and $150,000,000. The Alternative Currency Sublimit is part of, and not in addition to, the Aggregate Commitments.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Alternative Currency Term Rate</w:t>
      </w:r>
      <w:r>
        <w:rPr>
          <w:color w:val="000000"/>
        </w:rPr>
        <w:t xml:space="preserve">” </w:t>
      </w:r>
      <w:r>
        <w:rPr>
          <w:rFonts w:ascii="Times New Roman;serif" w:hAnsi="Times New Roman;serif"/>
          <w:b w:val="false"/>
          <w:color w:val="000000"/>
          <w:sz w:val="22"/>
        </w:rPr>
        <w:t>means, for any Interest Period, with respect to any Credit Extension: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denominated in Euros, the rate per annum equal to the Euro Interbank Offered Rate (“EURIBOR”),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w:t>
      </w:r>
    </w:p>
    <w:p>
      <w:pPr>
        <w:pStyle w:val="TextBody"/>
        <w:bidi w:val="0"/>
        <w:spacing w:lineRule="auto" w:line="288" w:before="0" w:after="240"/>
        <w:ind w:left="0" w:right="0" w:firstLine="720"/>
        <w:jc w:val="both"/>
        <w:rPr/>
      </w:pPr>
      <w:r>
        <w:rPr>
          <w:rFonts w:ascii="Times New Roman;serif" w:hAnsi="Times New Roman;serif"/>
          <w:b w:val="false"/>
          <w:color w:val="000000"/>
          <w:sz w:val="22"/>
        </w:rPr>
        <w:t>(b)    denominated in Canadian dollars, the rate per annum equal to the forward-looking term rate based on CORRA (“</w:t>
      </w:r>
      <w:r>
        <w:rPr>
          <w:rFonts w:ascii="Times New Roman;serif" w:hAnsi="Times New Roman;serif"/>
          <w:b w:val="false"/>
          <w:color w:val="000000"/>
          <w:sz w:val="22"/>
          <w:u w:val="single"/>
        </w:rPr>
        <w:t>Term CORRA</w:t>
      </w:r>
      <w:r>
        <w:rPr>
          <w:color w:val="000000"/>
        </w:rPr>
        <w:t>”</w:t>
      </w:r>
      <w:r>
        <w:rPr>
          <w:rFonts w:ascii="Times New Roman;serif" w:hAnsi="Times New Roman;serif"/>
          <w:b w:val="false"/>
          <w:color w:val="000000"/>
          <w:sz w:val="22"/>
        </w:rPr>
        <w:t>), as published on the applicable Reuters screen page (or such other commercially available source providing such quotations as may be designated by the Administrative Agent from time to time) (in such case, the “</w:t>
      </w:r>
      <w:r>
        <w:rPr>
          <w:rFonts w:ascii="Times New Roman;serif" w:hAnsi="Times New Roman;serif"/>
          <w:b w:val="false"/>
          <w:color w:val="000000"/>
          <w:sz w:val="22"/>
          <w:u w:val="single"/>
        </w:rPr>
        <w:t>Term CORRA Rate</w:t>
      </w:r>
      <w:r>
        <w:rPr>
          <w:color w:val="000000"/>
        </w:rPr>
        <w:t>”</w:t>
      </w:r>
      <w:r>
        <w:rPr>
          <w:rFonts w:ascii="Times New Roman;serif" w:hAnsi="Times New Roman;serif"/>
          <w:b w:val="false"/>
          <w:color w:val="000000"/>
          <w:sz w:val="22"/>
        </w:rPr>
        <w:t>) on the Rate Determination Date</w:t>
      </w:r>
      <w:r>
        <w:rPr>
          <w:color w:val="000000"/>
        </w:rPr>
        <w:t xml:space="preserve"> </w:t>
      </w:r>
      <w:r>
        <w:rPr>
          <w:rFonts w:ascii="Times New Roman;serif" w:hAnsi="Times New Roman;serif"/>
          <w:b w:val="false"/>
          <w:color w:val="000000"/>
          <w:sz w:val="22"/>
        </w:rPr>
        <w:t>with a term equivalent to such Interest Period plus the Term CORRA Adjustment for such Interest Period;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pursuant to Section 1.09(a) plus the adjustment (if any) determined by the Administrative Agent and the relevant Lenders pursuant to Section 1.09(a);</w:t>
      </w:r>
    </w:p>
    <w:p>
      <w:pPr>
        <w:pStyle w:val="TextBody"/>
        <w:bidi w:val="0"/>
        <w:spacing w:lineRule="auto" w:line="288" w:before="0" w:after="24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 if any Alternative Currency Term Rate shall be less than zero, such rate shall be deemed zero for purposes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85445"/>
                <wp:effectExtent l="0" t="0" r="0" b="0"/>
                <wp:wrapNone/>
                <wp:docPr id="38" name="Frame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Alternative Currency Term Rate Loan</w:t>
      </w:r>
      <w:r>
        <w:rPr>
          <w:color w:val="000000"/>
        </w:rPr>
        <w:t xml:space="preserve">” </w:t>
      </w:r>
      <w:r>
        <w:rPr>
          <w:rFonts w:ascii="Times New Roman;serif" w:hAnsi="Times New Roman;serif"/>
          <w:b w:val="false"/>
          <w:color w:val="000000"/>
          <w:sz w:val="22"/>
        </w:rPr>
        <w:t>means a Loan that bears interest at a rate based on the definition of “Alternative Currency Term Rate.” All Alternative Currency Term Rate Loans must be denominated in an Alternative Currency.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Applicable Authority</w:t>
      </w:r>
      <w:r>
        <w:rPr>
          <w:color w:val="000000"/>
        </w:rPr>
        <w:t xml:space="preserve">” </w:t>
      </w:r>
      <w:r>
        <w:rPr>
          <w:rFonts w:ascii="Times New Roman;serif" w:hAnsi="Times New Roman;serif"/>
          <w:b w:val="false"/>
          <w:color w:val="000000"/>
          <w:sz w:val="22"/>
        </w:rPr>
        <w:t>means (a) with respect to SOFR, the SOFR Administrator or any Governmental Authority having jurisdiction over the Administrative Agent or the SOFR Administrator with respect to its publication of SOFR, in each case acting in such capacity and (b) with respect to any Alternative Currency, the applicable administrator for the Relevant Rate for such Alternative Currency or any Governmental Authority having jurisdiction over the Administrative Agent or such administrator with respect to its publication of the applicable Relevant Rate, in each case acting in such capacity.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Applicable Law</w:t>
      </w:r>
      <w:r>
        <w:rPr>
          <w:color w:val="000000"/>
        </w:rPr>
        <w:t xml:space="preserve">” </w:t>
      </w:r>
      <w:r>
        <w:rPr>
          <w:rFonts w:ascii="Times New Roman;serif" w:hAnsi="Times New Roman;serif"/>
          <w:b w:val="false"/>
          <w:color w:val="000000"/>
          <w:sz w:val="22"/>
        </w:rPr>
        <w:t>means, as to any Person, all applicable Laws binding upon such Person or to which such a Person is subject.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Applicable Percentage</w:t>
      </w:r>
      <w:r>
        <w:rPr>
          <w:color w:val="000000"/>
        </w:rPr>
        <w:t xml:space="preserve">” </w:t>
      </w:r>
      <w:r>
        <w:rPr>
          <w:rFonts w:ascii="Times New Roman;serif" w:hAnsi="Times New Roman;serif"/>
          <w:b w:val="false"/>
          <w:color w:val="000000"/>
          <w:sz w:val="22"/>
        </w:rPr>
        <w:t xml:space="preserve">means (a) in respect of the Term Facility, with respect to any Term Lender at any time, the percentage (carried out to the ninth decimal place) of the Term Facility represented by (i) on or prior to the Closing Date, such Term Lender’s Term Commitment at such time and (ii) thereafter, the outstanding principal amount of such Term Lender’s Term Loans at such time, and (b) in respect of the Revolving Facility, with respect to any Revolving Lender at any time, the percentage (carried out to the ninth decimal place) of the Revolving Facility represented by such Revolving Lender’s Revolving Commitment at such time, subject to adjustment as provided in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If the Commitment of all of the Revolving Lenders to make Revolving Loans and the obligation of the L/C Issuers to make L/C Credit Extensions have been terminated pursuant to </w:t>
      </w:r>
      <w:r>
        <w:rPr>
          <w:rFonts w:ascii="Times New Roman;serif" w:hAnsi="Times New Roman;serif"/>
          <w:b w:val="false"/>
          <w:color w:val="000000"/>
          <w:sz w:val="22"/>
          <w:u w:val="single"/>
        </w:rPr>
        <w:t>Section 8.02</w:t>
      </w:r>
      <w:r>
        <w:rPr>
          <w:rFonts w:ascii="Times New Roman;serif" w:hAnsi="Times New Roman;serif"/>
          <w:b w:val="false"/>
          <w:color w:val="000000"/>
          <w:sz w:val="22"/>
        </w:rPr>
        <w:t xml:space="preserve">, or if the Revolving Commitments have expired, then the Applicable Percentage of each Revolving Lender in respect of the Revolving Facility shall be determined based on the Applicable Percentage of such Revolving Lender in respect of the Revolving Facility most recently in effect, giving effect to any subsequent assignments and to any Lender’s status as a Defaulting Lender at the time of determination. The Applicable Percentage of each Lender in respect of each Facility is set forth opposite the name of such Lender on </w:t>
      </w:r>
      <w:r>
        <w:rPr>
          <w:rFonts w:ascii="Times New Roman;serif" w:hAnsi="Times New Roman;serif"/>
          <w:b w:val="false"/>
          <w:color w:val="000000"/>
          <w:sz w:val="22"/>
          <w:u w:val="single"/>
        </w:rPr>
        <w:t>Schedule 1.01(b</w:t>
      </w:r>
      <w:r>
        <w:rPr>
          <w:rFonts w:ascii="Times New Roman;serif" w:hAnsi="Times New Roman;serif"/>
          <w:b w:val="false"/>
          <w:color w:val="000000"/>
          <w:sz w:val="22"/>
        </w:rPr>
        <w:t xml:space="preserve">) or in the Assignment and Assumption pursuant to which such Lender becomes a party hereto or in any documentation executed by such Lender pursuant to </w:t>
      </w:r>
      <w:r>
        <w:rPr>
          <w:rFonts w:ascii="Times New Roman;serif" w:hAnsi="Times New Roman;serif"/>
          <w:b w:val="false"/>
          <w:color w:val="000000"/>
          <w:sz w:val="22"/>
          <w:u w:val="single"/>
        </w:rPr>
        <w:t>Section 2.19</w:t>
      </w:r>
      <w:r>
        <w:rPr>
          <w:rFonts w:ascii="Times New Roman;serif" w:hAnsi="Times New Roman;serif"/>
          <w:b w:val="false"/>
          <w:color w:val="000000"/>
          <w:sz w:val="22"/>
        </w:rPr>
        <w:t>,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Applicable Rate</w:t>
      </w:r>
      <w:r>
        <w:rPr>
          <w:color w:val="000000"/>
        </w:rPr>
        <w:t xml:space="preserve">” </w:t>
      </w:r>
      <w:r>
        <w:rPr>
          <w:rFonts w:ascii="Times New Roman;serif" w:hAnsi="Times New Roman;serif"/>
          <w:b w:val="false"/>
          <w:color w:val="000000"/>
          <w:sz w:val="22"/>
        </w:rPr>
        <w:t>means, for any day, the rate per annum set forth below opposite the applicable Level then in effect (based on the Consolidated Net Leverage Ratio), it being understood that the Applicable Rate for (a) Revolving Loans that are Base Rate Loans shall be the percentage set forth under the column “Applicable Rate for Base Rate Loans”, (b) Revolving Loans that are Term SOFR Loans or Daily SOFR Loans shall be the percentage set forth under the column “Applicable Rate for Term SOFR Loans, Daily SOFR Loans and Letter of Credit Fee”, (c) Revolving Loans that are Alternative Currency Daily Rate Loans shall be the percentage set forth under the column “Applicable Rate for Alternative Currency Daily Rate Loans”, (d) Revolving Loans that are Alternative Currency Term Rate Loans shall be the percentage set forth under the column “Applicable Rate for Alternative Currency Term Rate Loans”, (e) that portion of the Term Loan comprised of Base Rate Loans shall be the percentage set forth under the column “Applicable Rate for Base Rate Loans”, (f)  that portion of the Term Loan comprised of Term SOFR Loans or Daily SOFR Loans shall be the percentage set forth under the column “Applicable Rate for Term SOFR Loans, Daily SOFR Loans and Letter of Credit Fee”, (g) the Letter of Credit Fee shall be the percentage set forth under the column “Applicable Rate for Term SOFR Loans, Daily SOFR Loans and Letter of Credit Fee”, and (h) the Commitment Fee shall be the percentage set forth under the column “Commitment Fee”:</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39" name="Frame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34"/>
        <w:gridCol w:w="205"/>
        <w:gridCol w:w="207"/>
        <w:gridCol w:w="517"/>
        <w:gridCol w:w="517"/>
        <w:gridCol w:w="518"/>
        <w:gridCol w:w="635"/>
        <w:gridCol w:w="635"/>
        <w:gridCol w:w="637"/>
        <w:gridCol w:w="553"/>
        <w:gridCol w:w="553"/>
        <w:gridCol w:w="555"/>
        <w:gridCol w:w="553"/>
        <w:gridCol w:w="553"/>
        <w:gridCol w:w="554"/>
        <w:gridCol w:w="468"/>
        <w:gridCol w:w="468"/>
        <w:gridCol w:w="469"/>
        <w:gridCol w:w="400"/>
        <w:gridCol w:w="400"/>
        <w:gridCol w:w="574"/>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4" w:space="0" w:color="000000"/>
              <w:left w:val="single" w:sz="4" w:space="0" w:color="000000"/>
            </w:tcBorders>
            <w:shd w:fill="F2F2F2" w:val="clear"/>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Level</w:t>
            </w:r>
          </w:p>
        </w:tc>
        <w:tc>
          <w:tcPr>
            <w:tcW w:w="1552" w:type="dxa"/>
            <w:gridSpan w:val="3"/>
            <w:tcBorders>
              <w:top w:val="single" w:sz="4" w:space="0" w:color="000000"/>
              <w:left w:val="single" w:sz="4" w:space="0" w:color="000000"/>
            </w:tcBorders>
            <w:shd w:fill="F2F2F2" w:val="clear"/>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Consolidated Net Leverage Ratio</w:t>
            </w:r>
          </w:p>
        </w:tc>
        <w:tc>
          <w:tcPr>
            <w:tcW w:w="1907" w:type="dxa"/>
            <w:gridSpan w:val="3"/>
            <w:tcBorders>
              <w:top w:val="single" w:sz="4" w:space="0" w:color="000000"/>
              <w:left w:val="single" w:sz="4" w:space="0" w:color="000000"/>
            </w:tcBorders>
            <w:shd w:fill="F2F2F2" w:val="clear"/>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Applicable Rate for Term SOFR Loans, Daily SOFR Loans and Letter of Credit Fee</w:t>
            </w:r>
          </w:p>
        </w:tc>
        <w:tc>
          <w:tcPr>
            <w:tcW w:w="1661" w:type="dxa"/>
            <w:gridSpan w:val="3"/>
            <w:tcBorders>
              <w:top w:val="single" w:sz="4" w:space="0" w:color="000000"/>
              <w:left w:val="single" w:sz="4" w:space="0" w:color="000000"/>
            </w:tcBorders>
            <w:shd w:fill="F2F2F2" w:val="clear"/>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Applicable Rate for Alternative Currency Daily Rate Loans</w:t>
            </w:r>
          </w:p>
        </w:tc>
        <w:tc>
          <w:tcPr>
            <w:tcW w:w="1660" w:type="dxa"/>
            <w:gridSpan w:val="3"/>
            <w:tcBorders>
              <w:top w:val="single" w:sz="4" w:space="0" w:color="000000"/>
              <w:left w:val="single" w:sz="4" w:space="0" w:color="000000"/>
            </w:tcBorders>
            <w:shd w:fill="F2F2F2" w:val="clear"/>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Applicable Rate for Alternative Currency Term Rate Loans</w:t>
            </w:r>
          </w:p>
        </w:tc>
        <w:tc>
          <w:tcPr>
            <w:tcW w:w="1405" w:type="dxa"/>
            <w:gridSpan w:val="3"/>
            <w:tcBorders>
              <w:top w:val="single" w:sz="4" w:space="0" w:color="000000"/>
              <w:left w:val="single" w:sz="4" w:space="0" w:color="000000"/>
            </w:tcBorders>
            <w:shd w:fill="F2F2F2" w:val="clear"/>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Applicable Rate for Base Rate Loans</w:t>
            </w:r>
          </w:p>
        </w:tc>
        <w:tc>
          <w:tcPr>
            <w:tcW w:w="1374"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Commitment</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Fee</w:t>
            </w:r>
          </w:p>
        </w:tc>
      </w:tr>
      <w:tr>
        <w:trPr/>
        <w:tc>
          <w:tcPr>
            <w:tcW w:w="6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w:t>
            </w:r>
          </w:p>
        </w:tc>
        <w:tc>
          <w:tcPr>
            <w:tcW w:w="1552"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&lt; 1.25:1.00</w:t>
            </w:r>
          </w:p>
        </w:tc>
        <w:tc>
          <w:tcPr>
            <w:tcW w:w="19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1.250%</w:t>
            </w:r>
          </w:p>
        </w:tc>
        <w:tc>
          <w:tcPr>
            <w:tcW w:w="16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1.250%</w:t>
            </w:r>
          </w:p>
        </w:tc>
        <w:tc>
          <w:tcPr>
            <w:tcW w:w="16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1.250%</w:t>
            </w:r>
          </w:p>
        </w:tc>
        <w:tc>
          <w:tcPr>
            <w:tcW w:w="14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0.250%</w:t>
            </w:r>
          </w:p>
        </w:tc>
        <w:tc>
          <w:tcPr>
            <w:tcW w:w="137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0.175%</w:t>
            </w:r>
          </w:p>
        </w:tc>
      </w:tr>
      <w:tr>
        <w:trPr/>
        <w:tc>
          <w:tcPr>
            <w:tcW w:w="6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w:t>
            </w:r>
          </w:p>
        </w:tc>
        <w:tc>
          <w:tcPr>
            <w:tcW w:w="1552"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40"/>
              <w:jc w:val="center"/>
              <w:rPr>
                <w:color w:val="000000"/>
              </w:rPr>
            </w:pPr>
            <w:r>
              <w:rPr>
                <w:color w:val="000000"/>
              </w:rPr>
              <w:t xml:space="preserve">≥ </w:t>
            </w:r>
            <w:r>
              <w:rPr>
                <w:rFonts w:ascii="Times New Roman;serif" w:hAnsi="Times New Roman;serif"/>
                <w:b w:val="false"/>
                <w:color w:val="000000"/>
                <w:sz w:val="22"/>
              </w:rPr>
              <w:t>1.25:1.00 and &lt; 1.75:1</w:t>
            </w:r>
          </w:p>
        </w:tc>
        <w:tc>
          <w:tcPr>
            <w:tcW w:w="19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1.500%</w:t>
            </w:r>
          </w:p>
        </w:tc>
        <w:tc>
          <w:tcPr>
            <w:tcW w:w="16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1.500%</w:t>
            </w:r>
          </w:p>
        </w:tc>
        <w:tc>
          <w:tcPr>
            <w:tcW w:w="16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1.500%</w:t>
            </w:r>
          </w:p>
        </w:tc>
        <w:tc>
          <w:tcPr>
            <w:tcW w:w="14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0.500%</w:t>
            </w:r>
          </w:p>
        </w:tc>
        <w:tc>
          <w:tcPr>
            <w:tcW w:w="137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0.200%</w:t>
            </w:r>
          </w:p>
        </w:tc>
      </w:tr>
      <w:tr>
        <w:trPr/>
        <w:tc>
          <w:tcPr>
            <w:tcW w:w="6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w:t>
            </w:r>
          </w:p>
        </w:tc>
        <w:tc>
          <w:tcPr>
            <w:tcW w:w="1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color w:val="000000"/>
              </w:rPr>
            </w:pPr>
            <w:r>
              <w:rPr>
                <w:color w:val="000000"/>
              </w:rPr>
              <w:t xml:space="preserve">≥ </w:t>
            </w:r>
            <w:r>
              <w:rPr>
                <w:rFonts w:ascii="Times New Roman;serif" w:hAnsi="Times New Roman;serif"/>
                <w:b w:val="false"/>
                <w:color w:val="000000"/>
                <w:sz w:val="22"/>
              </w:rPr>
              <w:t>1.75:1.00 and</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&lt; 2.25:1.00</w:t>
            </w:r>
          </w:p>
        </w:tc>
        <w:tc>
          <w:tcPr>
            <w:tcW w:w="19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1.750%</w:t>
            </w:r>
          </w:p>
        </w:tc>
        <w:tc>
          <w:tcPr>
            <w:tcW w:w="16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1.750%</w:t>
            </w:r>
          </w:p>
        </w:tc>
        <w:tc>
          <w:tcPr>
            <w:tcW w:w="16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1.750%</w:t>
            </w:r>
          </w:p>
        </w:tc>
        <w:tc>
          <w:tcPr>
            <w:tcW w:w="14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0.750%</w:t>
            </w:r>
          </w:p>
        </w:tc>
        <w:tc>
          <w:tcPr>
            <w:tcW w:w="137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0.225%</w:t>
            </w:r>
          </w:p>
        </w:tc>
      </w:tr>
      <w:tr>
        <w:trPr/>
        <w:tc>
          <w:tcPr>
            <w:tcW w:w="64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w:t>
            </w:r>
          </w:p>
        </w:tc>
        <w:tc>
          <w:tcPr>
            <w:tcW w:w="1552" w:type="dxa"/>
            <w:gridSpan w:val="3"/>
            <w:tcBorders>
              <w:top w:val="single" w:sz="4" w:space="0" w:color="000000"/>
              <w:left w:val="single" w:sz="4" w:space="0" w:color="000000"/>
              <w:bottom w:val="single" w:sz="4" w:space="0" w:color="000000"/>
            </w:tcBorders>
            <w:tcMar>
              <w:top w:w="30" w:type="dxa"/>
              <w:left w:w="51" w:type="dxa"/>
              <w:bottom w:w="3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Times New Roman;serif" w:hAnsi="Times New Roman;serif"/>
                <w:b w:val="false"/>
                <w:color w:val="000000"/>
                <w:sz w:val="22"/>
              </w:rPr>
              <w:t xml:space="preserve">2.25:1.00 </w:t>
            </w:r>
          </w:p>
        </w:tc>
        <w:tc>
          <w:tcPr>
            <w:tcW w:w="190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2.000%</w:t>
            </w:r>
          </w:p>
        </w:tc>
        <w:tc>
          <w:tcPr>
            <w:tcW w:w="166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2.000%</w:t>
            </w:r>
          </w:p>
        </w:tc>
        <w:tc>
          <w:tcPr>
            <w:tcW w:w="16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2.000%</w:t>
            </w:r>
          </w:p>
        </w:tc>
        <w:tc>
          <w:tcPr>
            <w:tcW w:w="140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1.000%</w:t>
            </w:r>
          </w:p>
        </w:tc>
        <w:tc>
          <w:tcPr>
            <w:tcW w:w="137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0.250%</w:t>
            </w:r>
          </w:p>
        </w:tc>
      </w:tr>
    </w:tbl>
    <w:p>
      <w:pPr>
        <w:pStyle w:val="TextBody"/>
        <w:bidi w:val="0"/>
        <w:spacing w:lineRule="auto" w:line="288" w:before="240" w:after="240"/>
        <w:ind w:left="0" w:right="0" w:firstLine="720"/>
        <w:jc w:val="both"/>
        <w:rPr/>
      </w:pPr>
      <w:r>
        <w:rPr>
          <w:rFonts w:ascii="Times New Roman;serif" w:hAnsi="Times New Roman;serif"/>
          <w:b w:val="false"/>
          <w:color w:val="000000"/>
          <w:sz w:val="22"/>
        </w:rPr>
        <w:t xml:space="preserve">Any increase or decrease in the Applicable Rate resulting from a change in the Consolidated Net Leverage Ratio shall become effective as of the first Business Day immediately following the date a Compliance Certificate is delivered pursuant to </w:t>
      </w:r>
      <w:r>
        <w:rPr>
          <w:rFonts w:ascii="Times New Roman;serif" w:hAnsi="Times New Roman;serif"/>
          <w:b w:val="false"/>
          <w:color w:val="000000"/>
          <w:sz w:val="22"/>
          <w:u w:val="single"/>
        </w:rPr>
        <w:t>Section 6.02(a</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if a Compliance Certificate is not delivered when due in accordance with </w:t>
      </w:r>
      <w:r>
        <w:rPr>
          <w:rFonts w:ascii="Times New Roman;serif" w:hAnsi="Times New Roman;serif"/>
          <w:b w:val="false"/>
          <w:color w:val="000000"/>
          <w:sz w:val="22"/>
          <w:u w:val="single"/>
        </w:rPr>
        <w:t>Section 6.02(a</w:t>
      </w:r>
      <w:r>
        <w:rPr>
          <w:rFonts w:ascii="Times New Roman;serif" w:hAnsi="Times New Roman;serif"/>
          <w:b w:val="false"/>
          <w:color w:val="000000"/>
          <w:sz w:val="22"/>
        </w:rPr>
        <w:t>), then, upon the request of the Required Lenders, Pricing Level 4 shall apply, in each case as of the first Business Day after the date on which such Compliance Certificate was required to have been delivered and in each case shall remain in effect until the first Business Day following the date on which such Compliance Certificate is delivered. In addition, at all times while the Default Rate is in effect, the highest rate set forth in each column of the Applicable Rate shall apply.</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Notwithstanding anything to the contrary contained in this definition, (i) the determination of the Applicable Rate for any period shall be subject to the provisions of </w:t>
      </w:r>
      <w:r>
        <w:rPr>
          <w:rFonts w:ascii="Times New Roman;serif" w:hAnsi="Times New Roman;serif"/>
          <w:b w:val="false"/>
          <w:color w:val="000000"/>
          <w:sz w:val="22"/>
          <w:u w:val="single"/>
        </w:rPr>
        <w:t>Section 2.10(b</w:t>
      </w:r>
      <w:r>
        <w:rPr>
          <w:rFonts w:ascii="Times New Roman;serif" w:hAnsi="Times New Roman;serif"/>
          <w:b w:val="false"/>
          <w:color w:val="000000"/>
          <w:sz w:val="22"/>
        </w:rPr>
        <w:t xml:space="preserve">) and (ii) the initial Applicable Rate and Commitment Fee shall be set at Pricing Level 1 until the first Business Day immediately following the date a Compliance Certificate is delivered pursuant to </w:t>
      </w:r>
      <w:r>
        <w:rPr>
          <w:rFonts w:ascii="Times New Roman;serif" w:hAnsi="Times New Roman;serif"/>
          <w:b w:val="false"/>
          <w:color w:val="000000"/>
          <w:sz w:val="22"/>
          <w:u w:val="single"/>
        </w:rPr>
        <w:t>Section 6.02(a</w:t>
      </w:r>
      <w:r>
        <w:rPr>
          <w:rFonts w:ascii="Times New Roman;serif" w:hAnsi="Times New Roman;serif"/>
          <w:b w:val="false"/>
          <w:color w:val="000000"/>
          <w:sz w:val="22"/>
        </w:rPr>
        <w:t>) for the first full fiscal quarter to occur following the Closing Date to the Administrative Agent. Any adjustment in the Applicable Rate shall be applicable to all Credit Extensions then existing or subsequently made or issued.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Applicable Rate set forth above shall be increased as, and to the extent, required by </w:t>
      </w:r>
      <w:r>
        <w:rPr>
          <w:rFonts w:ascii="Times New Roman;serif" w:hAnsi="Times New Roman;serif"/>
          <w:b w:val="false"/>
          <w:color w:val="000000"/>
          <w:sz w:val="22"/>
          <w:u w:val="single"/>
        </w:rPr>
        <w:t>Section 2.19</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Applicable Revolving Percentage</w:t>
      </w:r>
      <w:r>
        <w:rPr>
          <w:color w:val="000000"/>
        </w:rPr>
        <w:t xml:space="preserve">” </w:t>
      </w:r>
      <w:r>
        <w:rPr>
          <w:rFonts w:ascii="Times New Roman;serif" w:hAnsi="Times New Roman;serif"/>
          <w:b w:val="false"/>
          <w:color w:val="000000"/>
          <w:sz w:val="22"/>
        </w:rPr>
        <w:t>means with respect to any Revolving Lender at any time, such Revolving Lender’s Applicable Percentage in respect of the Revolving Facility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Applicable Time</w:t>
      </w:r>
      <w:r>
        <w:rPr>
          <w:color w:val="000000"/>
        </w:rPr>
        <w:t xml:space="preserve">” </w:t>
      </w:r>
      <w:r>
        <w:rPr>
          <w:rFonts w:ascii="Times New Roman;serif" w:hAnsi="Times New Roman;serif"/>
          <w:b w:val="false"/>
          <w:color w:val="000000"/>
          <w:sz w:val="22"/>
        </w:rPr>
        <w:t>means, with respect to any Borrowings and payments in any Alternative Currency, the local time in the place of settlement for such Alternative Currency as may be determined by the Administrative Agent or the applicable L/C Issuer, as the case may be, to be necessary for timely settlement on the relevant date in accordance with normal banking procedures in the place of payment.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Appropriate</w:t>
      </w:r>
      <w:r>
        <w:rPr>
          <w:color w:val="000000"/>
          <w:u w:val="single"/>
        </w:rPr>
        <w:t xml:space="preserve"> </w:t>
      </w:r>
      <w:r>
        <w:rPr>
          <w:rFonts w:ascii="Times New Roman;serif" w:hAnsi="Times New Roman;serif"/>
          <w:b w:val="false"/>
          <w:i/>
          <w:color w:val="000000"/>
          <w:sz w:val="22"/>
          <w:u w:val="single"/>
        </w:rPr>
        <w:t>Lender</w:t>
      </w:r>
      <w:r>
        <w:rPr>
          <w:color w:val="000000"/>
        </w:rPr>
        <w:t xml:space="preserve">” </w:t>
      </w:r>
      <w:r>
        <w:rPr>
          <w:rFonts w:ascii="Times New Roman;serif" w:hAnsi="Times New Roman;serif"/>
          <w:b w:val="false"/>
          <w:color w:val="000000"/>
          <w:sz w:val="22"/>
        </w:rPr>
        <w:t xml:space="preserve">means, at any time, (a) with respect to any Facility, a Lender that has a Commitment with respect to such Facility or holds a Loan under such Facility at such time, (b) with respect to the Letter of Credit Sublimit, (i) the L/C Issuers and (ii) if any Letters of Credit have been issued pursuant to </w:t>
      </w:r>
      <w:r>
        <w:rPr>
          <w:rFonts w:ascii="Times New Roman;serif" w:hAnsi="Times New Roman;serif"/>
          <w:b w:val="false"/>
          <w:color w:val="000000"/>
          <w:sz w:val="22"/>
          <w:u w:val="single"/>
        </w:rPr>
        <w:t>Section 2.03</w:t>
      </w:r>
      <w:r>
        <w:rPr>
          <w:rFonts w:ascii="Times New Roman;serif" w:hAnsi="Times New Roman;serif"/>
          <w:b w:val="false"/>
          <w:color w:val="000000"/>
          <w:sz w:val="22"/>
        </w:rPr>
        <w:t xml:space="preserve">, the Revolving Lenders and (c) with respect to the Swingline Sublimit,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40" name="Frame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(i) the Swingline Lender and (ii) if any Swingline Loans are outstanding pursuant to </w:t>
      </w:r>
      <w:r>
        <w:rPr>
          <w:rFonts w:ascii="Times New Roman;serif" w:hAnsi="Times New Roman;serif"/>
          <w:b w:val="false"/>
          <w:color w:val="000000"/>
          <w:sz w:val="22"/>
          <w:u w:val="single"/>
        </w:rPr>
        <w:t>Section 2.04(a</w:t>
      </w:r>
      <w:r>
        <w:rPr>
          <w:rFonts w:ascii="Times New Roman;serif" w:hAnsi="Times New Roman;serif"/>
          <w:b w:val="false"/>
          <w:color w:val="000000"/>
          <w:sz w:val="22"/>
        </w:rPr>
        <w:t>), the Revolving Lenders.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Approved Fund</w:t>
      </w:r>
      <w:r>
        <w:rPr>
          <w:color w:val="000000"/>
        </w:rPr>
        <w:t xml:space="preserve">” </w:t>
      </w:r>
      <w:r>
        <w:rPr>
          <w:rFonts w:ascii="Times New Roman;serif" w:hAnsi="Times New Roman;serif"/>
          <w:b w:val="false"/>
          <w:color w:val="000000"/>
          <w:sz w:val="22"/>
        </w:rPr>
        <w:t>means any Fund that is administered or managed by (a) a Lender, (b) an Affiliate of a Lender or (c) an entity or an Affiliate of an entity that administers or manages a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Arranger</w:t>
      </w:r>
      <w:r>
        <w:rPr>
          <w:color w:val="000000"/>
        </w:rPr>
        <w:t xml:space="preserve">” </w:t>
      </w:r>
      <w:r>
        <w:rPr>
          <w:rFonts w:ascii="Times New Roman;serif" w:hAnsi="Times New Roman;serif"/>
          <w:b w:val="false"/>
          <w:color w:val="000000"/>
          <w:sz w:val="22"/>
        </w:rPr>
        <w:t>means BofA Securities, Inc., in its capacity as sole lead arranger and sole bookrunner.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Assignment and Assumption</w:t>
      </w:r>
      <w:r>
        <w:rPr>
          <w:color w:val="000000"/>
        </w:rPr>
        <w:t xml:space="preserve">” </w:t>
      </w:r>
      <w:r>
        <w:rPr>
          <w:rFonts w:ascii="Times New Roman;serif" w:hAnsi="Times New Roman;serif"/>
          <w:b w:val="false"/>
          <w:color w:val="000000"/>
          <w:sz w:val="22"/>
        </w:rPr>
        <w:t xml:space="preserve">means an assignment and assumption entered into by a Lender and an Eligible Assignee (with the consent of any party whose consent is required by </w:t>
      </w:r>
      <w:r>
        <w:rPr>
          <w:rFonts w:ascii="Times New Roman;serif" w:hAnsi="Times New Roman;serif"/>
          <w:b w:val="false"/>
          <w:color w:val="000000"/>
          <w:sz w:val="22"/>
          <w:u w:val="single"/>
        </w:rPr>
        <w:t>Section 11.06(b</w:t>
      </w:r>
      <w:r>
        <w:rPr>
          <w:rFonts w:ascii="Times New Roman;serif" w:hAnsi="Times New Roman;serif"/>
          <w:b w:val="false"/>
          <w:color w:val="000000"/>
          <w:sz w:val="22"/>
        </w:rPr>
        <w:t xml:space="preserve">)), and accepted by the Administrative Agent, substantially in the form of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or any other form (including an electronic documentation form generated by use of an electronic platform) approved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Attributable Indebtedness</w:t>
      </w:r>
      <w:r>
        <w:rPr>
          <w:color w:val="000000"/>
        </w:rPr>
        <w:t xml:space="preserve">” </w:t>
      </w:r>
      <w:r>
        <w:rPr>
          <w:rFonts w:ascii="Times New Roman;serif" w:hAnsi="Times New Roman;serif"/>
          <w:b w:val="false"/>
          <w:color w:val="000000"/>
          <w:sz w:val="22"/>
        </w:rPr>
        <w:t>means, on any date, (a) in respect of any Capitalized Lease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Audited Financial Statements</w:t>
      </w:r>
      <w:r>
        <w:rPr>
          <w:color w:val="000000"/>
        </w:rPr>
        <w:t xml:space="preserve">” </w:t>
      </w:r>
      <w:r>
        <w:rPr>
          <w:rFonts w:ascii="Times New Roman;serif" w:hAnsi="Times New Roman;serif"/>
          <w:b w:val="false"/>
          <w:color w:val="000000"/>
          <w:sz w:val="22"/>
        </w:rPr>
        <w:t>means the audited Consolidated balance sheet of Company and its Subsidiaries for each of the fiscal years ended December 28, 2024 and January 3, 2026, and the related Consolidated statements of income or operations, Shareholders’ Equity and cash flows for such fiscal year of Company and its Subsidiaries, including the notes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Availability Period</w:t>
      </w:r>
      <w:r>
        <w:rPr>
          <w:color w:val="000000"/>
        </w:rPr>
        <w:t xml:space="preserve">” </w:t>
      </w:r>
      <w:r>
        <w:rPr>
          <w:rFonts w:ascii="Times New Roman;serif" w:hAnsi="Times New Roman;serif"/>
          <w:b w:val="false"/>
          <w:color w:val="000000"/>
          <w:sz w:val="22"/>
        </w:rPr>
        <w:t xml:space="preserve">means in respect of the Revolving Facility, the period from and including the Closing Date to the earliest of (i) the Maturity Date for the Revolving Facility, (ii) the date of termination of the Revolving Commitments pursuant to </w:t>
      </w:r>
      <w:r>
        <w:rPr>
          <w:rFonts w:ascii="Times New Roman;serif" w:hAnsi="Times New Roman;serif"/>
          <w:b w:val="false"/>
          <w:color w:val="000000"/>
          <w:sz w:val="22"/>
          <w:u w:val="single"/>
        </w:rPr>
        <w:t>Section 2.06</w:t>
      </w:r>
      <w:r>
        <w:rPr>
          <w:rFonts w:ascii="Times New Roman;serif" w:hAnsi="Times New Roman;serif"/>
          <w:b w:val="false"/>
          <w:color w:val="000000"/>
          <w:sz w:val="22"/>
        </w:rPr>
        <w:t xml:space="preserve">, and (iii) the date of termination of the Commitment of each Revolving Lender to make Revolving Loans and of the obligation of the L/C Issuers to make L/C Credit Extensions pursuant to </w:t>
      </w:r>
      <w:r>
        <w:rPr>
          <w:rFonts w:ascii="Times New Roman;serif" w:hAnsi="Times New Roman;serif"/>
          <w:b w:val="false"/>
          <w:color w:val="000000"/>
          <w:sz w:val="22"/>
          <w:u w:val="single"/>
        </w:rPr>
        <w:t>Section 8.02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Bail-In Action</w:t>
      </w:r>
      <w:r>
        <w:rPr>
          <w:color w:val="000000"/>
        </w:rPr>
        <w:t xml:space="preserve">” </w:t>
      </w:r>
      <w:r>
        <w:rPr>
          <w:rFonts w:ascii="Times New Roman;serif" w:hAnsi="Times New Roman;serif"/>
          <w:b w:val="false"/>
          <w:color w:val="000000"/>
          <w:sz w:val="22"/>
        </w:rPr>
        <w:t>means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Bail-In Legislation</w:t>
      </w:r>
      <w:r>
        <w:rPr>
          <w:color w:val="000000"/>
        </w:rPr>
        <w:t xml:space="preserve">” </w:t>
      </w:r>
      <w:r>
        <w:rPr>
          <w:rFonts w:ascii="Times New Roman;serif" w:hAnsi="Times New Roman;serif"/>
          <w:b w:val="false"/>
          <w:color w:val="000000"/>
          <w:sz w:val="22"/>
        </w:rPr>
        <w:t>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Bank of America</w:t>
      </w:r>
      <w:r>
        <w:rPr>
          <w:color w:val="000000"/>
        </w:rPr>
        <w:t xml:space="preserve">” </w:t>
      </w:r>
      <w:r>
        <w:rPr>
          <w:rFonts w:ascii="Times New Roman;serif" w:hAnsi="Times New Roman;serif"/>
          <w:b w:val="false"/>
          <w:color w:val="000000"/>
          <w:sz w:val="22"/>
        </w:rPr>
        <w:t>means Bank of America, N.A. and its successors.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Base Rate</w:t>
      </w:r>
      <w:r>
        <w:rPr>
          <w:color w:val="000000"/>
        </w:rPr>
        <w:t xml:space="preserve">” </w:t>
      </w:r>
      <w:r>
        <w:rPr>
          <w:rFonts w:ascii="Times New Roman;serif" w:hAnsi="Times New Roman;serif"/>
          <w:b w:val="false"/>
          <w:color w:val="000000"/>
          <w:sz w:val="22"/>
        </w:rPr>
        <w:t xml:space="preserve">means for any day a fluctuating rate of interest per annum equal to the highest of (a) the Federal Funds Rate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0.50%, (b) the rate of interest in effect for such day as publicly announced from time to time by Bank of America as its “prime rate,” and (c) the Term SOFR for such day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1.00%, subject to the interest rate floors set forth therein;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if the Base Rate shall be less than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41" name="Frame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1.00%, such rate shall be deemed 1.00%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serif" w:hAnsi="Times New Roman;serif"/>
          <w:b w:val="false"/>
          <w:color w:val="000000"/>
          <w:sz w:val="22"/>
          <w:u w:val="single"/>
        </w:rPr>
        <w:t>Section 3.03</w:t>
      </w:r>
      <w:r>
        <w:rPr>
          <w:color w:val="000000"/>
        </w:rPr>
        <w:t xml:space="preserve"> </w:t>
      </w:r>
      <w:r>
        <w:rPr>
          <w:rFonts w:ascii="Times New Roman;serif" w:hAnsi="Times New Roman;serif"/>
          <w:b w:val="false"/>
          <w:color w:val="000000"/>
          <w:sz w:val="22"/>
        </w:rPr>
        <w:t xml:space="preserve">hereof, then the Base Rate shall be the greater of </w:t>
      </w:r>
      <w:r>
        <w:rPr>
          <w:rFonts w:ascii="Times New Roman;serif" w:hAnsi="Times New Roman;serif"/>
          <w:b w:val="false"/>
          <w:color w:val="000000"/>
          <w:sz w:val="22"/>
          <w:u w:val="single"/>
        </w:rPr>
        <w:t>clauses (a</w:t>
      </w:r>
      <w:r>
        <w:rPr>
          <w:rFonts w:ascii="Times New Roman;serif" w:hAnsi="Times New Roman;serif"/>
          <w:b w:val="false"/>
          <w:color w:val="000000"/>
          <w:sz w:val="22"/>
        </w:rPr>
        <w:t>) and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above and shall be determined without reference to </w:t>
      </w:r>
      <w:r>
        <w:rPr>
          <w:rFonts w:ascii="Times New Roman;serif" w:hAnsi="Times New Roman;serif"/>
          <w:b w:val="false"/>
          <w:color w:val="000000"/>
          <w:sz w:val="22"/>
          <w:u w:val="single"/>
        </w:rPr>
        <w:t>clause (c</w:t>
      </w:r>
      <w:r>
        <w:rPr>
          <w:rFonts w:ascii="Times New Roman;serif" w:hAnsi="Times New Roman;serif"/>
          <w:b w:val="false"/>
          <w:color w:val="000000"/>
          <w:sz w:val="22"/>
        </w:rPr>
        <w:t>) above.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Base Rate Loan</w:t>
      </w:r>
      <w:r>
        <w:rPr>
          <w:color w:val="000000"/>
        </w:rPr>
        <w:t xml:space="preserve">” </w:t>
      </w:r>
      <w:r>
        <w:rPr>
          <w:rFonts w:ascii="Times New Roman;serif" w:hAnsi="Times New Roman;serif"/>
          <w:b w:val="false"/>
          <w:color w:val="000000"/>
          <w:sz w:val="22"/>
        </w:rPr>
        <w:t>means a Revolving Loan or a Term Loan that bears interest based on the Base Rate. All Base Rate Loans are only available to U.S. Borrowers and Loans denominated in Dollars.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Beneficial Ownership Certification</w:t>
      </w:r>
      <w:r>
        <w:rPr>
          <w:color w:val="000000"/>
        </w:rPr>
        <w:t xml:space="preserve">” </w:t>
      </w:r>
      <w:r>
        <w:rPr>
          <w:rFonts w:ascii="Times New Roman;serif" w:hAnsi="Times New Roman;serif"/>
          <w:b w:val="false"/>
          <w:color w:val="000000"/>
          <w:sz w:val="22"/>
        </w:rPr>
        <w:t>means a certification regarding beneficial ownership required by the Beneficial Ownership Regulation.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Beneficial Ownership Regulation</w:t>
      </w:r>
      <w:r>
        <w:rPr>
          <w:color w:val="000000"/>
        </w:rPr>
        <w:t xml:space="preserve">” </w:t>
      </w:r>
      <w:r>
        <w:rPr>
          <w:rFonts w:ascii="Times New Roman;serif" w:hAnsi="Times New Roman;serif"/>
          <w:b w:val="false"/>
          <w:color w:val="000000"/>
          <w:sz w:val="22"/>
        </w:rPr>
        <w:t>means 31 C.F.R. § 1010.230.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Benefit Plan</w:t>
      </w:r>
      <w:r>
        <w:rPr>
          <w:color w:val="000000"/>
        </w:rPr>
        <w:t xml:space="preserve">” </w:t>
      </w:r>
      <w:r>
        <w:rPr>
          <w:rFonts w:ascii="Times New Roman;serif" w:hAnsi="Times New Roman;serif"/>
          <w:b w:val="false"/>
          <w:color w:val="000000"/>
          <w:sz w:val="22"/>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BHC Act Affiliate</w:t>
      </w:r>
      <w:r>
        <w:rPr>
          <w:color w:val="000000"/>
        </w:rPr>
        <w:t xml:space="preserve">” </w:t>
      </w:r>
      <w:r>
        <w:rPr>
          <w:rFonts w:ascii="Times New Roman;serif" w:hAnsi="Times New Roman;serif"/>
          <w:b w:val="false"/>
          <w:color w:val="000000"/>
          <w:sz w:val="22"/>
        </w:rPr>
        <w:t>of a party means an “affiliate” (as such term is defined under, and interpreted in accordance with, 12 U.S.C. 1841(k)) of such party.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Borrower</w:t>
      </w:r>
      <w:r>
        <w:rPr>
          <w:color w:val="000000"/>
        </w:rPr>
        <w:t xml:space="preserve">” </w:t>
      </w:r>
      <w:r>
        <w:rPr>
          <w:rFonts w:ascii="Times New Roman;serif" w:hAnsi="Times New Roman;serif"/>
          <w:b w:val="false"/>
          <w:color w:val="000000"/>
          <w:sz w:val="22"/>
        </w:rPr>
        <w:t>and “</w:t>
      </w:r>
      <w:r>
        <w:rPr>
          <w:rFonts w:ascii="Times New Roman;serif" w:hAnsi="Times New Roman;serif"/>
          <w:b w:val="false"/>
          <w:i/>
          <w:color w:val="000000"/>
          <w:sz w:val="22"/>
          <w:u w:val="single"/>
        </w:rPr>
        <w:t>Borrowers</w:t>
      </w:r>
      <w:r>
        <w:rPr>
          <w:color w:val="000000"/>
        </w:rPr>
        <w:t xml:space="preserve">” </w:t>
      </w:r>
      <w:r>
        <w:rPr>
          <w:rFonts w:ascii="Times New Roman;serif" w:hAnsi="Times New Roman;serif"/>
          <w:b w:val="false"/>
          <w:color w:val="000000"/>
          <w:sz w:val="22"/>
        </w:rPr>
        <w:t>each has the meaning specified in the introductory paragraph 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Borrower Materials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6.02(n)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Borrower DTTP Filing</w:t>
      </w:r>
      <w:r>
        <w:rPr>
          <w:color w:val="000000"/>
        </w:rPr>
        <w:t xml:space="preserve">” </w:t>
      </w:r>
      <w:r>
        <w:rPr>
          <w:rFonts w:ascii="Times New Roman;serif" w:hAnsi="Times New Roman;serif"/>
          <w:b w:val="false"/>
          <w:color w:val="000000"/>
          <w:sz w:val="22"/>
        </w:rPr>
        <w:t>means an United Kingdom HM Revenue &amp; Customs’ Form DTTP2 duly completed and filed by the relevant Borrower, which: (a) where it relates to a Treaty Lender that is an Original Lender, contains the scheme reference number and jurisdiction of tax residence of that Lender, and (i) where the Borrower is a Borrower as at the date of this Agreement, is filed with HM Revenue &amp; Customs within 30 days of the later of (x) the date of this Agreement and (y) the date on which the scheme reference number and jurisdiction of tax residence of that Lender was received by the relevant Borrower; or (ii) where the Borrower was not a Borrower as at the date of this Agreement (an ”</w:t>
      </w:r>
      <w:r>
        <w:rPr>
          <w:rFonts w:ascii="Times New Roman;serif" w:hAnsi="Times New Roman;serif"/>
          <w:b w:val="false"/>
          <w:color w:val="000000"/>
          <w:sz w:val="22"/>
          <w:u w:val="single"/>
        </w:rPr>
        <w:t>Additional Borrower</w:t>
      </w:r>
      <w:r>
        <w:rPr>
          <w:color w:val="000000"/>
        </w:rPr>
        <w:t>”</w:t>
      </w:r>
      <w:r>
        <w:rPr>
          <w:rFonts w:ascii="Times New Roman;serif" w:hAnsi="Times New Roman;serif"/>
          <w:b w:val="false"/>
          <w:color w:val="000000"/>
          <w:sz w:val="22"/>
        </w:rPr>
        <w:t>), is filed with HM Revenue &amp; Customs within 30 days of the date on which that Borrower becomes an Additional Borrower; or (b) where it relates to a Treaty Lender that was not a Lender as at the date of this Agreement (a “</w:t>
      </w:r>
      <w:r>
        <w:rPr>
          <w:rFonts w:ascii="Times New Roman;serif" w:hAnsi="Times New Roman;serif"/>
          <w:b w:val="false"/>
          <w:color w:val="000000"/>
          <w:sz w:val="22"/>
          <w:u w:val="single"/>
        </w:rPr>
        <w:t>New Lender</w:t>
      </w:r>
      <w:r>
        <w:rPr>
          <w:color w:val="000000"/>
        </w:rPr>
        <w:t>”</w:t>
      </w:r>
      <w:r>
        <w:rPr>
          <w:rFonts w:ascii="Times New Roman;serif" w:hAnsi="Times New Roman;serif"/>
          <w:b w:val="false"/>
          <w:color w:val="000000"/>
          <w:sz w:val="22"/>
        </w:rPr>
        <w:t>), contains the scheme reference number and jurisdiction of tax residence stated in respect of that Lender in the relevant Assignment and Assumption or other documentation which it executes on becoming a party as a Lender, and (i) where the Borrower is a Borrower as at the date the New Lender becomes a party as a Lender (the “</w:t>
      </w:r>
      <w:r>
        <w:rPr>
          <w:rFonts w:ascii="Times New Roman;serif" w:hAnsi="Times New Roman;serif"/>
          <w:b w:val="false"/>
          <w:color w:val="000000"/>
          <w:sz w:val="22"/>
          <w:u w:val="single"/>
        </w:rPr>
        <w:t>Transfer Date</w:t>
      </w:r>
      <w:r>
        <w:rPr>
          <w:color w:val="000000"/>
        </w:rPr>
        <w:t>”</w:t>
      </w:r>
      <w:r>
        <w:rPr>
          <w:rFonts w:ascii="Times New Roman;serif" w:hAnsi="Times New Roman;serif"/>
          <w:b w:val="false"/>
          <w:color w:val="000000"/>
          <w:sz w:val="22"/>
        </w:rPr>
        <w:t>), is filed with United Kingdom HM Revenue &amp; Customs within 30 days of that Transfer Date; or (ii)where the Borrower is not a Borrower as at the relevant Transfer Date, is filed with HM Revenue &amp; Customs within 30 days of the date on which that Borrower becomes an Additional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Borrower Representative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11.25</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42" name="Frame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Borrowing</w:t>
      </w:r>
      <w:r>
        <w:rPr>
          <w:color w:val="000000"/>
        </w:rPr>
        <w:t xml:space="preserve">” </w:t>
      </w:r>
      <w:r>
        <w:rPr>
          <w:rFonts w:ascii="Times New Roman;serif" w:hAnsi="Times New Roman;serif"/>
          <w:b w:val="false"/>
          <w:color w:val="000000"/>
          <w:sz w:val="22"/>
        </w:rPr>
        <w:t>means a Revolving Borrowing, a Term Borrowing or a Swingline Borrowing, as the context may require.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Business Day</w:t>
      </w:r>
      <w:r>
        <w:rPr>
          <w:color w:val="000000"/>
        </w:rPr>
        <w:t xml:space="preserve">” </w:t>
      </w:r>
      <w:r>
        <w:rPr>
          <w:rFonts w:ascii="Times New Roman;serif" w:hAnsi="Times New Roman;serif"/>
          <w:b w:val="false"/>
          <w:color w:val="000000"/>
          <w:sz w:val="22"/>
        </w:rPr>
        <w:t>means any day other than a Saturday, Sunday or other day on which commercial banks are authorized to close under the Laws of, or are in fact closed in, the jurisdiction where the Administrative Agent’s Office is located; provided that: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 Business Day that is also a TARGET Day;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if such day relates to any interest rate settings as to an Alternative Currency Loan denominated in (i) Sterling, means a day other than a day banks are closed for general business in London because such day is a Saturday, Sunday or a legal holiday under the laws of England and Wales;, and (ii) Swiss Francs, means a day other than when banks are closed for settlement and payments of foreign exchange transactions in Zurich because such day is a Saturday, Sunday or a legal holiday under the laws of Switzerland;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if such day relates to any interest rate settings as to an Alternative Currency Loan denominated in a currency other than, Euro, Sterling, or Swiss Francs, means any such day on which dealings in deposits in the relevant currency are conducted by and between banks in the applicable offshore interbank market for such currency;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if such day relates to any fundings, disbursements, settlements and payments in a currency other than Euro, Sterling, or Swiss Francs in respect of an Alternative Currency Loan denominated in a currency other than Euro, Sterling, or Swiss Francs, or any other dealings in any currency other than Euro, Sterling, or Swiss Francs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Canadian Benefit Plan</w:t>
      </w:r>
      <w:r>
        <w:rPr>
          <w:color w:val="000000"/>
        </w:rPr>
        <w:t xml:space="preserve">” </w:t>
      </w:r>
      <w:r>
        <w:rPr>
          <w:rFonts w:ascii="Times New Roman;serif" w:hAnsi="Times New Roman;serif"/>
          <w:b w:val="false"/>
          <w:color w:val="000000"/>
          <w:sz w:val="22"/>
        </w:rPr>
        <w:t>means any material plan, fund, program, or policy (whether funded or unfunded, insured or uninsured), providing employee benefits, including medical, hospital care, dental, sickness, accident, disability, life insurance, retirement or savings benefits, under which any Loan Party or any Subsidiary of any Loan Party has any liability with respect to any employee or former employee, but excluding any Canadian Pension Plans and Canadian MEPPs.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Canadian Borrower</w:t>
      </w:r>
      <w:r>
        <w:rPr>
          <w:color w:val="000000"/>
        </w:rPr>
        <w:t xml:space="preserve">” </w:t>
      </w:r>
      <w:r>
        <w:rPr>
          <w:rFonts w:ascii="Times New Roman;serif" w:hAnsi="Times New Roman;serif"/>
          <w:b w:val="false"/>
          <w:color w:val="000000"/>
          <w:sz w:val="22"/>
        </w:rPr>
        <w:t>has the meaning specified in the introductory paragraph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Canadian Defined Benefit Plan</w:t>
      </w:r>
      <w:r>
        <w:rPr>
          <w:color w:val="000000"/>
        </w:rPr>
        <w:t xml:space="preserve">” </w:t>
      </w:r>
      <w:r>
        <w:rPr>
          <w:rFonts w:ascii="Times New Roman;serif" w:hAnsi="Times New Roman;serif"/>
          <w:b w:val="false"/>
          <w:color w:val="000000"/>
          <w:sz w:val="22"/>
        </w:rPr>
        <w:t>means a Canadian Pension Plan that contains a “defined benefit provision,” as such term is defined in subsection 147.1(1) of the Canadian Tax 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Canadian Dollar</w:t>
      </w:r>
      <w:r>
        <w:rPr>
          <w:color w:val="000000"/>
        </w:rPr>
        <w:t xml:space="preserve">” </w:t>
      </w:r>
      <w:r>
        <w:rPr>
          <w:rFonts w:ascii="Times New Roman;serif" w:hAnsi="Times New Roman;serif"/>
          <w:b w:val="false"/>
          <w:color w:val="000000"/>
          <w:sz w:val="22"/>
        </w:rPr>
        <w:t>and “</w:t>
      </w:r>
      <w:r>
        <w:rPr>
          <w:rFonts w:ascii="Times New Roman;serif" w:hAnsi="Times New Roman;serif"/>
          <w:b w:val="false"/>
          <w:i/>
          <w:color w:val="000000"/>
          <w:sz w:val="22"/>
          <w:u w:val="single"/>
        </w:rPr>
        <w:t>CAD</w:t>
      </w:r>
      <w:r>
        <w:rPr>
          <w:color w:val="000000"/>
        </w:rPr>
        <w:t xml:space="preserve">” </w:t>
      </w:r>
      <w:r>
        <w:rPr>
          <w:rFonts w:ascii="Times New Roman;serif" w:hAnsi="Times New Roman;serif"/>
          <w:b w:val="false"/>
          <w:color w:val="000000"/>
          <w:sz w:val="22"/>
        </w:rPr>
        <w:t>means the lawful currency of Canada.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Canadian MEPP</w:t>
      </w:r>
      <w:r>
        <w:rPr>
          <w:color w:val="000000"/>
        </w:rPr>
        <w:t xml:space="preserve">” </w:t>
      </w:r>
      <w:r>
        <w:rPr>
          <w:rFonts w:ascii="Times New Roman;serif" w:hAnsi="Times New Roman;serif"/>
          <w:b w:val="false"/>
          <w:color w:val="000000"/>
          <w:sz w:val="22"/>
        </w:rPr>
        <w:t>means a “multi-employer plan” as such term is defined in Section 8500(1) of the Income Tax Regulations (Canada), to which any Loan Party’s or Subsidiary’s only financial obligation is to pay employer contributions in accordance with a collective bargaining agreement, and which is not maintained, sponsored or administered by a Loan Party or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43" name="Frame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Canadian Pension Event</w:t>
      </w:r>
      <w:r>
        <w:rPr>
          <w:color w:val="000000"/>
        </w:rPr>
        <w:t xml:space="preserve">” </w:t>
      </w:r>
      <w:r>
        <w:rPr>
          <w:rFonts w:ascii="Times New Roman;serif" w:hAnsi="Times New Roman;serif"/>
          <w:b w:val="false"/>
          <w:color w:val="000000"/>
          <w:sz w:val="22"/>
        </w:rPr>
        <w:t>means in respect of a Loan Party (a) the filing of a notice of intent to terminate a Canadian Defined Benefit Plan with the Chief Executive Officer of the Financial Services Regulatory Authority of Ontario, or a similar Governmental Authority of another provincial or federal jurisdiction; (b) the Chief Executive Officer of the Financial Services Regulatory Authority of Ontario, or a similar Governmental Authority, instituting proceedings to revoke the registration of or terminate, in whole or in part, any Canadian Defined Benefit Plan or causing a trustee to be appointed to administer any Canadian Defined Benefit Plan, or the Chief Executive Officer of the Financial Services Regulatory Authority of Ontario, or other similar Governmental Authority, instituting a proceeding in respect of a Canadian Defined Benefit Plan and such proceeding shall not have been dismissed within thirty (30) days thereafter; (c) a material contribution failure in respect of any Canadian Pension Plan or Canadian MEPP sufficient to give rise to a Lien (other than a Permitted Lien); or (d) a Loan Party or any of its Subsidiaries becomes liable for any obligations under a Canadian Defined Benefit Plan.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Canadian Pension Plan</w:t>
      </w:r>
      <w:r>
        <w:rPr>
          <w:color w:val="000000"/>
        </w:rPr>
        <w:t xml:space="preserve">” </w:t>
      </w:r>
      <w:r>
        <w:rPr>
          <w:rFonts w:ascii="Times New Roman;serif" w:hAnsi="Times New Roman;serif"/>
          <w:b w:val="false"/>
          <w:color w:val="000000"/>
          <w:sz w:val="22"/>
        </w:rPr>
        <w:t>means any plan, program or arrangement that is subject to applicable pension standards legislation in Canada, whether or not registered under any such Laws other than a Canadian MEPP, which for greater certainty does not include the Canada Pension Plan maintained by the government of Canada and the Quebec Pension Plan maintained by the government of the Province of Quebec.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Canadian Tax Act</w:t>
      </w:r>
      <w:r>
        <w:rPr>
          <w:color w:val="000000"/>
        </w:rPr>
        <w:t xml:space="preserve">” </w:t>
      </w:r>
      <w:r>
        <w:rPr>
          <w:rFonts w:ascii="Times New Roman;serif" w:hAnsi="Times New Roman;serif"/>
          <w:b w:val="false"/>
          <w:color w:val="000000"/>
          <w:sz w:val="22"/>
        </w:rPr>
        <w:t>means the Income Tax Act (Canada) and the regulations thereunder,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Capitalized Lease</w:t>
      </w:r>
      <w:r>
        <w:rPr>
          <w:color w:val="000000"/>
        </w:rPr>
        <w:t xml:space="preserve">” </w:t>
      </w:r>
      <w:r>
        <w:rPr>
          <w:rFonts w:ascii="Times New Roman;serif" w:hAnsi="Times New Roman;serif"/>
          <w:b w:val="false"/>
          <w:color w:val="000000"/>
          <w:sz w:val="22"/>
        </w:rPr>
        <w:t xml:space="preserve">means any lease that, subject to </w:t>
      </w:r>
      <w:r>
        <w:rPr>
          <w:rFonts w:ascii="Times New Roman;serif" w:hAnsi="Times New Roman;serif"/>
          <w:b w:val="false"/>
          <w:color w:val="000000"/>
          <w:sz w:val="22"/>
          <w:u w:val="single"/>
        </w:rPr>
        <w:t>Section 1.03(a)</w:t>
      </w:r>
      <w:r>
        <w:rPr>
          <w:rFonts w:ascii="Times New Roman;serif" w:hAnsi="Times New Roman;serif"/>
          <w:b w:val="false"/>
          <w:color w:val="000000"/>
          <w:sz w:val="22"/>
        </w:rPr>
        <w:t>, has been or is required to be, in accordance with GAAP, recorded, classified and accounted for as a capitalized lease or financing lease.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Cash Collateralize</w:t>
      </w:r>
      <w:r>
        <w:rPr>
          <w:color w:val="000000"/>
        </w:rPr>
        <w:t xml:space="preserve">” </w:t>
      </w:r>
      <w:r>
        <w:rPr>
          <w:rFonts w:ascii="Times New Roman;serif" w:hAnsi="Times New Roman;serif"/>
          <w:b w:val="false"/>
          <w:color w:val="000000"/>
          <w:sz w:val="22"/>
        </w:rPr>
        <w:t>means to pledge and deposit with or deliver to the Administrative Agent, for the benefit of one or more of the L/C Issuers or Swingline Lender (as applicable) or the Lenders, as collateral for L/C Obligations, the Obligations in respect of Swingline Loans, or obligations of the Revolving Lenders to fund participations in respect of L/C Obligations or Swingline Loans (as the context may require), (a) cash or deposit account balances, (b) backstop letters of credit entered into on terms, from issuers and in amounts satisfactory to the Administrative Agent and the applicable L/C Issuers, and/or (c) if the Administrative Agent and the applicable L/C Issuers or Swingline Lender shall agree, in their sole discretion, other credit support, in each case, in Dollars and pursuant to documentation in form and substance satisfactory to the Administrative Agent and such L/C Issuer or the Swingline Lender (as applicable). “</w:t>
      </w:r>
      <w:r>
        <w:rPr>
          <w:rFonts w:ascii="Times New Roman;serif" w:hAnsi="Times New Roman;serif"/>
          <w:b w:val="false"/>
          <w:i/>
          <w:color w:val="000000"/>
          <w:sz w:val="22"/>
          <w:u w:val="single"/>
        </w:rPr>
        <w:t>Cash Collateral</w:t>
      </w:r>
      <w:r>
        <w:rPr>
          <w:color w:val="000000"/>
        </w:rPr>
        <w:t xml:space="preserve">” </w:t>
      </w:r>
      <w:r>
        <w:rPr>
          <w:rFonts w:ascii="Times New Roman;serif" w:hAnsi="Times New Roman;serif"/>
          <w:b w:val="false"/>
          <w:color w:val="000000"/>
          <w:sz w:val="22"/>
        </w:rPr>
        <w:t>shall have a meaning correlative to the foregoing and shall include the proceeds of such Cash Collateral and other credit support.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Cash</w:t>
      </w:r>
      <w:r>
        <w:rPr>
          <w:color w:val="000000"/>
          <w:u w:val="single"/>
        </w:rPr>
        <w:t xml:space="preserve"> </w:t>
      </w:r>
      <w:r>
        <w:rPr>
          <w:rFonts w:ascii="Times New Roman;serif" w:hAnsi="Times New Roman;serif"/>
          <w:b w:val="false"/>
          <w:i/>
          <w:color w:val="000000"/>
          <w:sz w:val="22"/>
          <w:u w:val="single"/>
        </w:rPr>
        <w:t>Equivalents</w:t>
      </w:r>
      <w:r>
        <w:rPr>
          <w:color w:val="000000"/>
        </w:rPr>
        <w:t xml:space="preserve">” </w:t>
      </w:r>
      <w:r>
        <w:rPr>
          <w:rFonts w:ascii="Times New Roman;serif" w:hAnsi="Times New Roman;serif"/>
          <w:b w:val="false"/>
          <w:color w:val="000000"/>
          <w:sz w:val="22"/>
        </w:rPr>
        <w:t xml:space="preserve">means any of the following types of Investments, to the extent owned by each Borrower or any of its Subsidiaries free and clear of all Liens (other than Permitted Liens):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(a)cash, denominated in Dollars, or, to the extent required in connection with the ordinary course operations of the Company and its Subsidiaries, other foreign currencies;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(b)readily marketable obligations issued or directly and unconditionally guaranteed or insured as to interest and principal by (i) the United States of America or any state, agency or instrumentality thereof, or (ii) any foreign government, the securities of which foreign government are rated at least A by S&amp;P or A by Moody’s, and in each case having maturities of not more than twelve (12) months from the date of acquisition;</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44" name="Frame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(c)certificates of deposit with maturities of one hundred eighty (180) days or less from the date of acquisition, bankers’ acceptances with maturities not exceeding one hundred eighty (180) days and overnight bank deposits, in each case, with any bank or financial institution organized under the laws of the United States or any state thereof or by any financial institution organized in any foreign country recognized by the United States, in each case having capital and surplus in excess of $1,000,000,000 (or the Dollar Equivalent thereof); </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repurchase obligations with a term of not more than thirty (30) days for underlying securities of the types described in clause (b) above entered into with any bank or financial institution meeting the qualifications specified in clause (c) above;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(e)commercial paper issued by any Lender or the parent corporation of any Lender, and commercial paper of any corporation incorporated under the laws of the United States of America or any state thereof or the laws of the United Kingdom, Canada, Japan or Switzerland and not an Affiliate of such Borrower or any of its Subsidiaries carrying a rating of at least A-1 or the equivalent thereof by S&amp;P or at least P-1 or the equivalent thereof by Moody’s (or, in the case of an issuer incorporated under the laws of one of the foreign countries specified above, carrying an equivalent rating), and in each case with maturities of not more than one hundred eighty (180) days from the date of acquisition thereof,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(f)U.S. money market funds rated in the highest rating category by either Moody’s or S&amp;P or, in the case of money market funds located in the United Kingdom, Canada, Japan or Switzerland, any comparable foreign rating agency.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Cash Management Agreement</w:t>
      </w:r>
      <w:r>
        <w:rPr>
          <w:color w:val="000000"/>
        </w:rPr>
        <w:t xml:space="preserve">” </w:t>
      </w:r>
      <w:r>
        <w:rPr>
          <w:rFonts w:ascii="Times New Roman;serif" w:hAnsi="Times New Roman;serif"/>
          <w:b w:val="false"/>
          <w:color w:val="000000"/>
          <w:sz w:val="22"/>
        </w:rPr>
        <w:t>means any agreement that is not prohibited by the terms hereof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Cash Management Bank</w:t>
      </w:r>
      <w:r>
        <w:rPr>
          <w:color w:val="000000"/>
        </w:rPr>
        <w:t xml:space="preserve">” </w:t>
      </w:r>
      <w:r>
        <w:rPr>
          <w:rFonts w:ascii="Times New Roman;serif" w:hAnsi="Times New Roman;serif"/>
          <w:b w:val="false"/>
          <w:color w:val="000000"/>
          <w:sz w:val="22"/>
        </w:rPr>
        <w:t>means any Person in its capacity as a party to a Cash Management Agreement that, (a) at the time it enters into a Cash Management Agreement with a Loan Party or any Subsidiary, is a Lender or an Affiliate of a Lender, or (b) at the time it (or its Affiliate) becomes a Lender, is a party to a Cash Management Agreement with a Loan Party or any Subsidiary, in each case in its capacity as a party to such Cash Management Agreement (even if such Person ceases to be a Lender or such Person's Affiliate ceased to be a Lender); provided, however, that for any of the foregoing to be included as a "Guaranteed Cash Management Agreement" on any date of determination by the Administrative Agent, the applicable Cash Management Bank (other than the Administrative Agent or an Affiliate of the Administrative Agent) must have delivered a Lender Party Designation Notice to the Administrative Agent prior to such date of determination.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CFC</w:t>
      </w:r>
      <w:r>
        <w:rPr>
          <w:color w:val="000000"/>
        </w:rPr>
        <w:t xml:space="preserve">” </w:t>
      </w:r>
      <w:r>
        <w:rPr>
          <w:rFonts w:ascii="Times New Roman;serif" w:hAnsi="Times New Roman;serif"/>
          <w:b w:val="false"/>
          <w:color w:val="000000"/>
          <w:sz w:val="22"/>
        </w:rPr>
        <w:t>means a Person that is a controlled foreign corporation under Section 957 of the Code in which any Borrower or any Loan Party is a United States shareholder within the meaning of Section 951(b)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Change in Law</w:t>
      </w:r>
      <w:r>
        <w:rPr>
          <w:color w:val="000000"/>
        </w:rPr>
        <w:t xml:space="preserve">” </w:t>
      </w:r>
      <w:r>
        <w:rPr>
          <w:rFonts w:ascii="Times New Roman;serif" w:hAnsi="Times New Roman;serif"/>
          <w:b w:val="false"/>
          <w:color w:val="000000"/>
          <w:sz w:val="22"/>
        </w:rPr>
        <w:t xml:space="preserve">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notwithstanding anything herein to the contrary, (i) the Dodd-Frank Wall Street Reform and Consumer Protection Act and all requests, rules, guidelines or directives thereunder or issued in connection therewith or in the implementation thereof and (ii) all requests, rules, guidelines or directives promulgated by the Bank for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45"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Change of Control</w:t>
      </w:r>
      <w:r>
        <w:rPr>
          <w:color w:val="000000"/>
        </w:rPr>
        <w:t xml:space="preserve">” </w:t>
      </w:r>
      <w:r>
        <w:rPr>
          <w:rFonts w:ascii="Times New Roman;serif" w:hAnsi="Times New Roman;serif"/>
          <w:b w:val="false"/>
          <w:color w:val="000000"/>
          <w:sz w:val="22"/>
        </w:rPr>
        <w:t>means an event or series of events by which:</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“option right”)), directly or indirectly, of 50% or more of the equity securities of the Company entitled to vote for members of the board of directors or equivalent governing body of the Company on a fully-diluted basis (and taking into account all such securities that such “person” or “group” has the right to acquire pursuant to any option right);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during any period of twelve (12) consecutive months, a majority of the members of the board of directors or other equivalent governing body of the Company cease to be composed of individuals (i) who were members of that board or equivalent governing body on the first day of such period, (ii) whose election or nomination to that board or equivalent governing body was nominated, appointed or approved by individuals referred to in clause (i) above constituting at the time of such election or nomination at least a majority of that board or equivalent governing body or (iii) whose election or nomination to that board or other equivalent governing body was nominated, appointed or approved by individuals referred to in clauses (i) and (ii) above constituting at the time of such election or nomination at least a majority of that board or equivalent governing body; or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any sale, lease, exchange or other transfer (in a single transaction or a series of related transactions) of all or substantially all of the assets of any Borrower and its Subsidiaries taken as a whole to any Person or “group” (within the meaning of Rules 13d-3 and 13d-5 under the Securities Exchange Act of 1934 as in effect on the Closing Date), other than sale or transfer to the Company or any of its Subsidiaries to the extent permitted herein; or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The Company shall cease to, directly or indirectly, own and control 100% of each class of the outstanding equity interests of each Subsidiary (or, in the case of any Subsidiary that is a non-wholly owned Subsidiary as of the Closing Date, the percentage of such equity interests of such Subsidiary owned and controlled, directly or indirectly, by the Company as of the Closing Date), except pursuant to Dispositions and other transactions permitted under this Agreement, and except for directors’ qualifying shares required under applicable law.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Class</w:t>
      </w:r>
      <w:r>
        <w:rPr>
          <w:color w:val="000000"/>
        </w:rPr>
        <w:t>”</w:t>
      </w:r>
      <w:r>
        <w:rPr>
          <w:rFonts w:ascii="Times New Roman;serif" w:hAnsi="Times New Roman;serif"/>
          <w:b w:val="false"/>
          <w:color w:val="000000"/>
          <w:sz w:val="22"/>
        </w:rPr>
        <w:t>, when used in reference to any Loan or Borrowing, refers to whether such Loan, or the Loans comprising such Borrowing, are Revolving Loans or Term Loans and, when used in reference to any Commitment, refers to whether such Commitment is a Revolving Commitment or Term Commitment.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Closing Date</w:t>
      </w:r>
      <w:r>
        <w:rPr>
          <w:color w:val="000000"/>
        </w:rPr>
        <w:t xml:space="preserve">” </w:t>
      </w:r>
      <w:r>
        <w:rPr>
          <w:rFonts w:ascii="Times New Roman;serif" w:hAnsi="Times New Roman;serif"/>
          <w:b w:val="false"/>
          <w:color w:val="000000"/>
          <w:sz w:val="22"/>
        </w:rPr>
        <w:t>means the date hereof.</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46" name="Frame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CME</w:t>
      </w:r>
      <w:r>
        <w:rPr>
          <w:color w:val="000000"/>
        </w:rPr>
        <w:t xml:space="preserve">” </w:t>
      </w:r>
      <w:r>
        <w:rPr>
          <w:rFonts w:ascii="Times New Roman;serif" w:hAnsi="Times New Roman;serif"/>
          <w:b w:val="false"/>
          <w:color w:val="000000"/>
          <w:sz w:val="22"/>
        </w:rPr>
        <w:t>means CME Group Benchmark Administration Limited.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Code</w:t>
      </w:r>
      <w:r>
        <w:rPr>
          <w:color w:val="000000"/>
        </w:rPr>
        <w:t xml:space="preserve">” </w:t>
      </w:r>
      <w:r>
        <w:rPr>
          <w:rFonts w:ascii="Times New Roman;serif" w:hAnsi="Times New Roman;serif"/>
          <w:b w:val="false"/>
          <w:color w:val="000000"/>
          <w:sz w:val="22"/>
        </w:rPr>
        <w:t>means the Internal Revenue Code of 1986.</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Commitment</w:t>
      </w:r>
      <w:r>
        <w:rPr>
          <w:color w:val="000000"/>
        </w:rPr>
        <w:t xml:space="preserve">” </w:t>
      </w:r>
      <w:r>
        <w:rPr>
          <w:rFonts w:ascii="Times New Roman;serif" w:hAnsi="Times New Roman;serif"/>
          <w:b w:val="false"/>
          <w:color w:val="000000"/>
          <w:sz w:val="22"/>
        </w:rPr>
        <w:t xml:space="preserve">means a Term Commitment, a Revolving Commitment or an Incremental Commitment, as the context may require.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Commodity Exchange Act</w:t>
      </w:r>
      <w:r>
        <w:rPr>
          <w:color w:val="000000"/>
        </w:rPr>
        <w:t xml:space="preserve">” </w:t>
      </w:r>
      <w:r>
        <w:rPr>
          <w:rFonts w:ascii="Times New Roman;serif" w:hAnsi="Times New Roman;serif"/>
          <w:b w:val="false"/>
          <w:color w:val="000000"/>
          <w:sz w:val="22"/>
        </w:rPr>
        <w:t xml:space="preserve">means the Commodity Exchange Act (7 U.S.C. § 1 </w:t>
      </w:r>
      <w:r>
        <w:rPr>
          <w:rFonts w:ascii="Times New Roman;serif" w:hAnsi="Times New Roman;serif"/>
          <w:b w:val="false"/>
          <w:i/>
          <w:color w:val="000000"/>
          <w:sz w:val="22"/>
        </w:rPr>
        <w:t>et seq</w:t>
      </w:r>
      <w:r>
        <w:rPr>
          <w:rFonts w:ascii="Times New Roman;serif" w:hAnsi="Times New Roman;serif"/>
          <w:b w:val="false"/>
          <w:color w:val="000000"/>
          <w:sz w:val="22"/>
        </w:rPr>
        <w:t>.), as amended from time to time, and any successor statute.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Communication</w:t>
      </w:r>
      <w:r>
        <w:rPr>
          <w:color w:val="000000"/>
        </w:rPr>
        <w:t xml:space="preserve">” </w:t>
      </w:r>
      <w:r>
        <w:rPr>
          <w:rFonts w:ascii="Times New Roman;serif" w:hAnsi="Times New Roman;serif"/>
          <w:b w:val="false"/>
          <w:color w:val="000000"/>
          <w:sz w:val="22"/>
        </w:rPr>
        <w:t>means this Agreement, any Loan Document and any document, amendment, approval, consent, information, notice, certificate, request, statement, disclosure or authorization related to any Loan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Company</w:t>
      </w:r>
      <w:r>
        <w:rPr>
          <w:color w:val="000000"/>
        </w:rPr>
        <w:t xml:space="preserve">” </w:t>
      </w:r>
      <w:r>
        <w:rPr>
          <w:rFonts w:ascii="Times New Roman;serif" w:hAnsi="Times New Roman;serif"/>
          <w:b w:val="false"/>
          <w:color w:val="000000"/>
          <w:sz w:val="22"/>
        </w:rPr>
        <w:t>has the meaning specified in the introductory paragraph 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Compliance Certificate</w:t>
      </w:r>
      <w:r>
        <w:rPr>
          <w:color w:val="000000"/>
        </w:rPr>
        <w:t xml:space="preserve">” </w:t>
      </w:r>
      <w:r>
        <w:rPr>
          <w:rFonts w:ascii="Times New Roman;serif" w:hAnsi="Times New Roman;serif"/>
          <w:b w:val="false"/>
          <w:color w:val="000000"/>
          <w:sz w:val="22"/>
        </w:rPr>
        <w:t xml:space="preserve">means a certificate substantially in the form of </w:t>
      </w:r>
      <w:r>
        <w:rPr>
          <w:rFonts w:ascii="Times New Roman;serif" w:hAnsi="Times New Roman;serif"/>
          <w:b w:val="false"/>
          <w:color w:val="000000"/>
          <w:sz w:val="22"/>
          <w:u w:val="single"/>
        </w:rPr>
        <w:t>Exhibit 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Conforming Changes</w:t>
      </w:r>
      <w:r>
        <w:rPr>
          <w:color w:val="000000"/>
        </w:rPr>
        <w:t xml:space="preserve">” </w:t>
      </w:r>
      <w:r>
        <w:rPr>
          <w:rFonts w:ascii="Times New Roman;serif" w:hAnsi="Times New Roman;serif"/>
          <w:b w:val="false"/>
          <w:color w:val="000000"/>
          <w:sz w:val="22"/>
        </w:rPr>
        <w:t>means, with respect to the use, administration of or any conventions associated with SOFR, SONIA, SARON, Term SOFR, Daily SOFR or any proposed Successor Rate, as applicable, any conforming changes to the definitions of “Base Rate”, “SOFR”, “SONIA”, “SARON”, “Term SOFR”, “Daily SOFR”, “CORRA”, “Term CORRA”,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for such Agreed Currency (or, if the Administrative Agent determines that adoption of any portion of such market practice is not administratively feasible or that no market practice for the administration of such rate for such Agreed Currency exists, in such other manner of administration as the Administrative Agent determines is reasonably necessary in connection with the administration of this Agreement and any other Loan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Connection Income Taxes</w:t>
      </w:r>
      <w:r>
        <w:rPr>
          <w:color w:val="000000"/>
        </w:rPr>
        <w:t xml:space="preserve">” </w:t>
      </w:r>
      <w:r>
        <w:rPr>
          <w:rFonts w:ascii="Times New Roman;serif" w:hAnsi="Times New Roman;serif"/>
          <w:b w:val="false"/>
          <w:color w:val="000000"/>
          <w:sz w:val="22"/>
        </w:rPr>
        <w:t>means Other Connection Taxes that are imposed on or measured by net income (however denominated) or that are franchise Taxes or branch profits Taxes.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Consideration</w:t>
      </w:r>
      <w:r>
        <w:rPr>
          <w:color w:val="000000"/>
        </w:rPr>
        <w:t xml:space="preserve">” </w:t>
      </w:r>
      <w:r>
        <w:rPr>
          <w:rFonts w:ascii="Times New Roman;serif" w:hAnsi="Times New Roman;serif"/>
          <w:b w:val="false"/>
          <w:color w:val="000000"/>
          <w:sz w:val="22"/>
        </w:rPr>
        <w:t xml:space="preserve">means, in connection with an acquisition, the aggregate consideration paid, including cash, the issuance of securities or notes, the assumption or incurring of liabilities (direct or contingent), the payment of consulting fees (excluding any fees payable to any investment banker in connection with such acquisition) or fees for a covenant not to compete and any other consideration paid.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Consolidated</w:t>
      </w:r>
      <w:r>
        <w:rPr>
          <w:color w:val="000000"/>
        </w:rPr>
        <w:t xml:space="preserve">” </w:t>
      </w:r>
      <w:r>
        <w:rPr>
          <w:rFonts w:ascii="Times New Roman;serif" w:hAnsi="Times New Roman;serif"/>
          <w:b w:val="false"/>
          <w:color w:val="000000"/>
          <w:sz w:val="22"/>
        </w:rPr>
        <w:t>means, when used with reference to financial statements or financial statement items of the Company and its Subsidiaries or any other Person, such statements or items on a consolidated basis in accordance with the consolidation principles of GAAP.</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Consolidated EBITDA</w:t>
      </w:r>
      <w:r>
        <w:rPr>
          <w:color w:val="000000"/>
        </w:rPr>
        <w:t xml:space="preserve">” </w:t>
      </w:r>
      <w:r>
        <w:rPr>
          <w:rFonts w:ascii="Times New Roman;serif" w:hAnsi="Times New Roman;serif"/>
          <w:b w:val="false"/>
          <w:color w:val="000000"/>
          <w:sz w:val="22"/>
        </w:rPr>
        <w:t xml:space="preserve">means, for any period, the </w:t>
      </w:r>
      <w:r>
        <w:rPr>
          <w:rFonts w:ascii="Times New Roman;serif" w:hAnsi="Times New Roman;serif"/>
          <w:b w:val="false"/>
          <w:i/>
          <w:color w:val="000000"/>
          <w:sz w:val="22"/>
        </w:rPr>
        <w:t>sum of</w:t>
      </w:r>
      <w:r>
        <w:rPr>
          <w:color w:val="000000"/>
        </w:rPr>
        <w:t xml:space="preserve"> </w:t>
      </w:r>
      <w:r>
        <w:rPr>
          <w:rFonts w:ascii="Times New Roman;serif" w:hAnsi="Times New Roman;serif"/>
          <w:b w:val="false"/>
          <w:color w:val="000000"/>
          <w:sz w:val="22"/>
        </w:rPr>
        <w:t>the following determined on a Consolidated basis, without duplication, for the Company and its Subsidiaries in accordance with GAAP:</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85445"/>
                <wp:effectExtent l="0" t="0" r="0" b="0"/>
                <wp:wrapNone/>
                <wp:docPr id="47" name="Frame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Consolidated Net Income for the most recently completed Measurement Period plus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the following to the extent deducted in calculating such Consolidated Net Income (without duplication):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    Consolidated Interest Charges,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    the provision for federal, state, local and foreign income taxes payable,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depreciation and amortization expense,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to the extent the aggregate amount thereof does not exceed 15% of the Consideration for a Permitted Acquisition, reasonable transaction expenses which are incurred and not capitalized in connection with a Permitted Acquisition; provided such transaction expenses were incurred before or within one year after the consummation of the Permitted Acquisition,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    non-cash write-downs, losses, expenses and charges (including impairment of goodwill, write-downs of intangibles, amortization of compensation in the form of Equity Interests and non-cash losses associated with adjustments to contingent consideration payments,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    extraordinary and non-recurring losses, charges or expenses,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    non-cash expenses resulting from the forgiveness, discounting or amortization of advances or loans made by the Company or any Subsidiary of the Company to employees, experts or consultants of the Company or any of its Subsidiaries deducted in the calculation of Consolidated Net Income for such period,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(viii)    projected cost savings, operating expense reductions and synergies resulting from actions taken by the Company (including restructurings, cost savings initiatives and other similar initiatives), net of the amount of actual benefits realized during such period from such actions, that are (A) reasonably identifiable and factually supportable, (B) projected to be realized within eighteen (18) months following the date on which such action is taken, as certified by a Responsible Officer of the Company in reasonable detail in a certificate delivered to the Administrative Agent concurrently with the applicable Compliance Certificate, and (C) in an aggregate amount not to exceed 10% of Consolidated EBITDA for such period calculated prior to giving effect to any adjustment pursuant to this clause (viii),</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less, without duplication and to the extent reflected as a gain or otherwise included in the calculation of Consolidated Net Income for such period, non-cash gains (including non-cash gains associated with adjustments to contingent consideration payments, but excluding any such non-cash gains to the extent (i) there were cash gains with respect to such gains in past accounting periods or (ii) there is a reasonable expectation that there will be cash gains with respect to such gains in future accounting periods).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For the purposes of calculating Consolidated EBITDA for any Measurement Period in connection with any determination of the Consolidated Net Leverage Ratio or Consolidated 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85445"/>
                <wp:effectExtent l="0" t="0" r="0" b="0"/>
                <wp:wrapNone/>
                <wp:docPr id="48" name="Frame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Coverage Ratio, (i) if at any time during such period the Company or any such Subsidiary shall have made any Specified Disposition, the Consolidated EBITDA for such Measurement Period shall be reduced by an amount equal to the Consolidated EBITDA (if positive) attributable to the asset that is the subject of such Specified Disposition for such Measurement Period or increased by an amount equal to the Consolidated EBITDA (if negative) attributable thereto for such Measurement Period and (ii) if during such Measurement Period the Company or any such Subsidiary shall have made a Specified Acquisition, Consolidated EBITDA for the portion of such Measurement Period prior to the date of such Specified Acquisition shall be calculated after giving effect thereto on a Pro Forma Basis as if such Specified Acquisition occurred on the first day of such Measurement Period.  As used in this definition, “Specified Acquisition” means any acquisition of assets or series of related acquisitions of assets that constitutes assets comprising all or substantially all of an operating unit of a business or constitutes all or substantially all of the common Equity Interests of a Person and involves the payment of Consideration by the Company and its Subsidiaries in excess of $1,000,000; and “Specified Disposition” means any Disposition of asset or series of related Dispositions of asset that constitutes a division or operating unit of a business or a line of business or a Disposition of all or substantially all of the Equity Interests or assets of a Person and which yields gross proceeds to the Company and its Subsidiaries in excess of $1,000,000.  For the avoidance of doubt, “Specified Acquisition” shall not include lateral hires of individuals and consultants who are compensated with loans under </w:t>
      </w:r>
      <w:r>
        <w:rPr>
          <w:rFonts w:ascii="Times New Roman;serif" w:hAnsi="Times New Roman;serif"/>
          <w:b w:val="false"/>
          <w:color w:val="000000"/>
          <w:sz w:val="22"/>
          <w:u w:val="single"/>
        </w:rPr>
        <w:t>Section 7.03(b)</w:t>
      </w:r>
      <w:r>
        <w:rPr>
          <w:color w:val="000000"/>
        </w:rPr>
        <w:t xml:space="preserve"> </w:t>
      </w:r>
      <w:r>
        <w:rPr>
          <w:rFonts w:ascii="Times New Roman;serif" w:hAnsi="Times New Roman;serif"/>
          <w:b w:val="false"/>
          <w:color w:val="000000"/>
          <w:sz w:val="22"/>
        </w:rPr>
        <w:t>which are forgivable.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Consolidated Interest Charges</w:t>
      </w:r>
      <w:r>
        <w:rPr>
          <w:color w:val="000000"/>
        </w:rPr>
        <w:t xml:space="preserve">” </w:t>
      </w:r>
      <w:r>
        <w:rPr>
          <w:rFonts w:ascii="Times New Roman;serif" w:hAnsi="Times New Roman;serif"/>
          <w:b w:val="false"/>
          <w:color w:val="000000"/>
          <w:sz w:val="22"/>
        </w:rPr>
        <w:t xml:space="preserve">means, for any Measurement Period, the </w:t>
      </w:r>
      <w:r>
        <w:rPr>
          <w:rFonts w:ascii="Times New Roman;serif" w:hAnsi="Times New Roman;serif"/>
          <w:b w:val="false"/>
          <w:i/>
          <w:color w:val="000000"/>
          <w:sz w:val="22"/>
        </w:rPr>
        <w:t>sum of</w:t>
      </w:r>
      <w:r>
        <w:rPr>
          <w:color w:val="000000"/>
        </w:rPr>
        <w:t xml:space="preserve"> </w:t>
      </w:r>
      <w:r>
        <w:rPr>
          <w:rFonts w:ascii="Times New Roman;serif" w:hAnsi="Times New Roman;serif"/>
          <w:b w:val="false"/>
          <w:color w:val="000000"/>
          <w:sz w:val="22"/>
        </w:rPr>
        <w:t>(a) all interest, premium payments, debt discount, fees, charges and related expenses in connection with borrowed money (including capitalized interest) or in connection with the deferred purchase price of assets, in each case to the extent treated as interest in accordance with GAAP, (b) all interest paid or payable with respect to discontinued operations and (c) the portion of rent expense under Capitalized Leases that is treated as interest in accordance with GAAP, in each case, of or by the Company and its Subsidiaries on a Consolidated basis for the most recently completed Measurement Period.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Consolidated Interest Coverage Ratio</w:t>
      </w:r>
      <w:r>
        <w:rPr>
          <w:color w:val="000000"/>
        </w:rPr>
        <w:t xml:space="preserve">” </w:t>
      </w:r>
      <w:r>
        <w:rPr>
          <w:rFonts w:ascii="Times New Roman;serif" w:hAnsi="Times New Roman;serif"/>
          <w:b w:val="false"/>
          <w:color w:val="000000"/>
          <w:sz w:val="22"/>
        </w:rPr>
        <w:t>means, as of any date of determination, the ratio of (a) Consolidated EBITDA for the most recently completed Measurement Period to (b) Consolidated Interest Charges, in each case, of or by the Company and its Subsidiaries on a consolidated basis for the most recently completed Measurement Period.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Consolidated Net Leverage Ratio</w:t>
      </w:r>
      <w:r>
        <w:rPr>
          <w:color w:val="000000"/>
        </w:rPr>
        <w:t xml:space="preserve">” </w:t>
      </w:r>
      <w:r>
        <w:rPr>
          <w:rFonts w:ascii="Times New Roman;serif" w:hAnsi="Times New Roman;serif"/>
          <w:b w:val="false"/>
          <w:color w:val="000000"/>
          <w:sz w:val="22"/>
        </w:rPr>
        <w:t>means, as of any date of determination, the ratio of (a) Consolidated Total Indebtedness as of such date minus the amount of unrestricted and unencumbered cash and Cash Equivalents of the Company and its Subsidiaries as of such date not to exceed the greater of (i) $50,000,000 and (ii) 25% of Consolidated EBITDA of the Company and its Subsidiaries for the most recently completed Measurement Period, to (b) Consolidated EBITDA of the Company and its Subsidiaries on a consolidated basis for the most recently completed Measurement Period.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Consolidated Net Income</w:t>
      </w:r>
      <w:r>
        <w:rPr>
          <w:color w:val="000000"/>
        </w:rPr>
        <w:t xml:space="preserve">” </w:t>
      </w:r>
      <w:r>
        <w:rPr>
          <w:rFonts w:ascii="Times New Roman;serif" w:hAnsi="Times New Roman;serif"/>
          <w:b w:val="false"/>
          <w:color w:val="000000"/>
          <w:sz w:val="22"/>
        </w:rPr>
        <w:t xml:space="preserve">means, at any date of determination, the net income (or loss) of the Company and its Subsidiaries on a Consolidated basis for the most recently completed Measurement Period;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Consolidated Net Income shall exclude (a) extraordinary and non-recurring gains for such Measurement Period, (b) the net income of any Subsidiary during such Measurement Period to the extent that the declaration or payment of dividends or similar distributions by such Subsidiary of such income is not permitted by operation of the terms of its Organization Documents or any agreement, instrument or Law applicable to such Subsidiary during such Measurement Period, except that the Company’s equity in any net loss of any such Subsidiary for such Measurement Period shall be included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85445"/>
                <wp:effectExtent l="0" t="0" r="0" b="0"/>
                <wp:wrapNone/>
                <wp:docPr id="49" name="Frame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in determining Consolidated Net Income, and (c) any income (or loss) for such Measurement Period of any Person if such Person is not a Subsidiary, except that Company’s equity in the net income of any such Person for such Measurement Period shall be included in Consolidated Net Income up to the aggregate amount of cash actually distributed by such Person during such Measurement Period to the Company or a Subsidiary as a dividend or other distribution (and in the case of a dividend or other distribution to a Subsidiary, such Subsidiary is not precluded from further distributing such amount to the Company as described in </w:t>
      </w:r>
      <w:r>
        <w:rPr>
          <w:rFonts w:ascii="Times New Roman;serif" w:hAnsi="Times New Roman;serif"/>
          <w:b w:val="false"/>
          <w:color w:val="000000"/>
          <w:sz w:val="22"/>
          <w:u w:val="single"/>
        </w:rPr>
        <w:t>clause (b</w:t>
      </w:r>
      <w:r>
        <w:rPr>
          <w:rFonts w:ascii="Times New Roman;serif" w:hAnsi="Times New Roman;serif"/>
          <w:b w:val="false"/>
          <w:color w:val="000000"/>
          <w:sz w:val="22"/>
        </w:rPr>
        <w:t>) of this proviso).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Consolidated Total Indebtedness</w:t>
      </w:r>
      <w:r>
        <w:rPr>
          <w:color w:val="000000"/>
        </w:rPr>
        <w:t xml:space="preserve">” </w:t>
      </w:r>
      <w:r>
        <w:rPr>
          <w:rFonts w:ascii="Times New Roman;serif" w:hAnsi="Times New Roman;serif"/>
          <w:b w:val="false"/>
          <w:color w:val="000000"/>
          <w:sz w:val="22"/>
        </w:rPr>
        <w:t xml:space="preserve">means the sum (without duplication) of all Indebtedness of the Company and of its Subsidiaries, all as determined on a consolidated basis.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Contractual Obligation</w:t>
      </w:r>
      <w:r>
        <w:rPr>
          <w:color w:val="000000"/>
        </w:rPr>
        <w:t xml:space="preserve">” </w:t>
      </w:r>
      <w:r>
        <w:rPr>
          <w:rFonts w:ascii="Times New Roman;serif" w:hAnsi="Times New Roman;serif"/>
          <w:b w:val="false"/>
          <w:color w:val="000000"/>
          <w:sz w:val="22"/>
        </w:rPr>
        <w:t>means, as to any Person, any provision of any security issued by such Person or of any agreement, instrument or other undertaking to which such Person is a party or by which it or any of its property is bound.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Contribution Notice</w:t>
      </w:r>
      <w:r>
        <w:rPr>
          <w:color w:val="000000"/>
        </w:rPr>
        <w:t xml:space="preserve">” </w:t>
      </w:r>
      <w:r>
        <w:rPr>
          <w:rFonts w:ascii="Times New Roman;serif" w:hAnsi="Times New Roman;serif"/>
          <w:b w:val="false"/>
          <w:color w:val="000000"/>
          <w:sz w:val="22"/>
        </w:rPr>
        <w:t>means a contribution notice issued by the Pensions Regulator under Section 38 or Section 47 of the United Kingdom Pensions Act 2004.</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Control</w:t>
      </w:r>
      <w:r>
        <w:rPr>
          <w:color w:val="000000"/>
        </w:rPr>
        <w:t xml:space="preserve">” </w:t>
      </w:r>
      <w:r>
        <w:rPr>
          <w:rFonts w:ascii="Times New Roman;serif" w:hAnsi="Times New Roman;serif"/>
          <w:b w:val="false"/>
          <w:color w:val="000000"/>
          <w:sz w:val="22"/>
        </w:rPr>
        <w:t>means the possession, directly or indirectly, of the power to direct or cause the direction of the management or policies of a Person, whether through the ability to exercise voting power, by contract or otherwise. “</w:t>
      </w:r>
      <w:r>
        <w:rPr>
          <w:rFonts w:ascii="Times New Roman;serif" w:hAnsi="Times New Roman;serif"/>
          <w:b w:val="false"/>
          <w:i/>
          <w:color w:val="000000"/>
          <w:sz w:val="22"/>
          <w:u w:val="single"/>
        </w:rPr>
        <w:t>Controlling</w:t>
      </w:r>
      <w:r>
        <w:rPr>
          <w:color w:val="000000"/>
        </w:rPr>
        <w:t xml:space="preserve">” </w:t>
      </w:r>
      <w:r>
        <w:rPr>
          <w:rFonts w:ascii="Times New Roman;serif" w:hAnsi="Times New Roman;serif"/>
          <w:b w:val="false"/>
          <w:color w:val="000000"/>
          <w:sz w:val="22"/>
        </w:rPr>
        <w:t>and “</w:t>
      </w:r>
      <w:r>
        <w:rPr>
          <w:rFonts w:ascii="Times New Roman;serif" w:hAnsi="Times New Roman;serif"/>
          <w:b w:val="false"/>
          <w:i/>
          <w:color w:val="000000"/>
          <w:sz w:val="22"/>
          <w:u w:val="single"/>
        </w:rPr>
        <w:t>Controlled</w:t>
      </w:r>
      <w:r>
        <w:rPr>
          <w:color w:val="000000"/>
        </w:rPr>
        <w:t xml:space="preserve">” </w:t>
      </w:r>
      <w:r>
        <w:rPr>
          <w:rFonts w:ascii="Times New Roman;serif" w:hAnsi="Times New Roman;serif"/>
          <w:b w:val="false"/>
          <w:color w:val="000000"/>
          <w:sz w:val="22"/>
        </w:rPr>
        <w:t>have meanings correlative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CORRA</w:t>
      </w:r>
      <w:r>
        <w:rPr>
          <w:color w:val="000000"/>
        </w:rPr>
        <w:t xml:space="preserve">” </w:t>
      </w:r>
      <w:r>
        <w:rPr>
          <w:rFonts w:ascii="Times New Roman;serif" w:hAnsi="Times New Roman;serif"/>
          <w:b w:val="false"/>
          <w:color w:val="000000"/>
          <w:sz w:val="22"/>
        </w:rPr>
        <w:t>means the Canadian Overnight Repo Rate Average administered and published by the Bank of Canada (or any successor administrator).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Covered Entity</w:t>
      </w:r>
      <w:r>
        <w:rPr>
          <w:color w:val="000000"/>
        </w:rPr>
        <w:t xml:space="preserve">” </w:t>
      </w:r>
      <w:r>
        <w:rPr>
          <w:rFonts w:ascii="Times New Roman;serif" w:hAnsi="Times New Roman;serif"/>
          <w:b w:val="false"/>
          <w:color w:val="000000"/>
          <w:sz w:val="22"/>
        </w:rPr>
        <w:t>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CRA Security</w:t>
      </w:r>
      <w:r>
        <w:rPr>
          <w:color w:val="000000"/>
        </w:rPr>
        <w:t xml:space="preserve">” </w:t>
      </w:r>
      <w:r>
        <w:rPr>
          <w:rFonts w:ascii="Times New Roman;serif" w:hAnsi="Times New Roman;serif"/>
          <w:b w:val="false"/>
          <w:color w:val="000000"/>
          <w:sz w:val="22"/>
        </w:rPr>
        <w:t>means CRA Security Corporation, a Massachusetts securities corporation.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Credit Extension</w:t>
      </w:r>
      <w:r>
        <w:rPr>
          <w:color w:val="000000"/>
        </w:rPr>
        <w:t xml:space="preserve">” </w:t>
      </w:r>
      <w:r>
        <w:rPr>
          <w:rFonts w:ascii="Times New Roman;serif" w:hAnsi="Times New Roman;serif"/>
          <w:b w:val="false"/>
          <w:color w:val="000000"/>
          <w:sz w:val="22"/>
        </w:rPr>
        <w:t>means each of the following: (a) a Borrowing and (b) an L/C Credit Extension.</w:t>
      </w:r>
    </w:p>
    <w:p>
      <w:pPr>
        <w:pStyle w:val="TextBody"/>
        <w:bidi w:val="0"/>
        <w:spacing w:lineRule="auto" w:line="288" w:before="0" w:after="240"/>
        <w:ind w:left="0" w:right="0" w:firstLine="720"/>
        <w:jc w:val="both"/>
        <w:rPr/>
      </w:pPr>
      <w:r>
        <w:rPr>
          <w:color w:val="0D0D0D"/>
        </w:rPr>
        <w:t>“</w:t>
      </w:r>
      <w:r>
        <w:rPr>
          <w:rFonts w:ascii="Times New Roman;serif" w:hAnsi="Times New Roman;serif"/>
          <w:b w:val="false"/>
          <w:i/>
          <w:color w:val="0D0D0D"/>
          <w:sz w:val="22"/>
          <w:u w:val="single"/>
        </w:rPr>
        <w:t>Daily SOFR</w:t>
      </w:r>
      <w:r>
        <w:rPr>
          <w:color w:val="0D0D0D"/>
        </w:rPr>
        <w:t xml:space="preserve">” </w:t>
      </w:r>
      <w:r>
        <w:rPr>
          <w:rFonts w:ascii="Times New Roman;serif" w:hAnsi="Times New Roman;serif"/>
          <w:b w:val="false"/>
          <w:color w:val="0D0D0D"/>
          <w:sz w:val="22"/>
        </w:rPr>
        <w:t xml:space="preserve">means the rate per annum equal to SOFR published on the second U.S. Government Securities Business Day preceding such date on the Federal Reserve Bank of New York’s website (or any successor </w:t>
      </w:r>
      <w:r>
        <w:rPr>
          <w:rFonts w:ascii="Times New Roman;serif" w:hAnsi="Times New Roman;serif"/>
          <w:b w:val="false"/>
          <w:color w:val="000000"/>
          <w:sz w:val="22"/>
        </w:rPr>
        <w:t>source</w:t>
      </w:r>
      <w:r>
        <w:rPr>
          <w:rFonts w:ascii="Times New Roman;serif" w:hAnsi="Times New Roman;serif"/>
          <w:b w:val="false"/>
          <w:color w:val="0D0D0D"/>
          <w:sz w:val="22"/>
        </w:rPr>
        <w:t xml:space="preserve">); </w:t>
      </w:r>
      <w:r>
        <w:rPr>
          <w:rFonts w:ascii="Times New Roman;serif" w:hAnsi="Times New Roman;serif"/>
          <w:b w:val="false"/>
          <w:color w:val="0D0D0D"/>
          <w:sz w:val="22"/>
          <w:u w:val="single"/>
        </w:rPr>
        <w:t>provided</w:t>
      </w:r>
      <w:r>
        <w:rPr>
          <w:color w:val="0D0D0D"/>
        </w:rPr>
        <w:t xml:space="preserve"> </w:t>
      </w:r>
      <w:r>
        <w:rPr>
          <w:rFonts w:ascii="Times New Roman;serif" w:hAnsi="Times New Roman;serif"/>
          <w:b w:val="false"/>
          <w:color w:val="0D0D0D"/>
          <w:sz w:val="22"/>
        </w:rPr>
        <w:t>however that if such determination date is not a U.S. Government Securities Business Day, then Daily SOFR means such rate that applied on the first U.S. Government Securities Business Day immediately prior thereto. Any change in Daily SOFR shall be effective from and including the date of such change without further notice. If the rate as so determined would be less than zero, such rate shall be deemed to be zero for purposes of this Agreement.</w:t>
      </w:r>
    </w:p>
    <w:p>
      <w:pPr>
        <w:pStyle w:val="TextBody"/>
        <w:bidi w:val="0"/>
        <w:spacing w:lineRule="auto" w:line="288" w:before="0" w:after="240"/>
        <w:ind w:left="0" w:right="0" w:firstLine="720"/>
        <w:jc w:val="both"/>
        <w:rPr/>
      </w:pPr>
      <w:r>
        <w:rPr>
          <w:color w:val="0D0D0D"/>
        </w:rPr>
        <w:t>“</w:t>
      </w:r>
      <w:r>
        <w:rPr>
          <w:rFonts w:ascii="Times New Roman;serif" w:hAnsi="Times New Roman;serif"/>
          <w:b w:val="false"/>
          <w:i/>
          <w:color w:val="0D0D0D"/>
          <w:sz w:val="22"/>
          <w:u w:val="single"/>
        </w:rPr>
        <w:t>Daily SOFR Loan</w:t>
      </w:r>
      <w:r>
        <w:rPr>
          <w:color w:val="0D0D0D"/>
        </w:rPr>
        <w:t xml:space="preserve">” </w:t>
      </w:r>
      <w:r>
        <w:rPr>
          <w:rFonts w:ascii="Times New Roman;serif" w:hAnsi="Times New Roman;serif"/>
          <w:b w:val="false"/>
          <w:color w:val="0D0D0D"/>
          <w:sz w:val="22"/>
        </w:rPr>
        <w:t>means a Loan that bears interest at a rate based on Daily SOFR.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Debtor Relief Laws</w:t>
      </w:r>
      <w:r>
        <w:rPr>
          <w:color w:val="000000"/>
        </w:rPr>
        <w:t xml:space="preserve">” </w:t>
      </w:r>
      <w:r>
        <w:rPr>
          <w:rFonts w:ascii="Times New Roman;serif" w:hAnsi="Times New Roman;serif"/>
          <w:b w:val="false"/>
          <w:color w:val="000000"/>
          <w:sz w:val="22"/>
        </w:rPr>
        <w:t xml:space="preserve">means the Bankruptcy Code of the United States, the Bankruptcy and Insolvency Act (Canada), the Companies’ Creditors Arrangement Act (Canada), the Winding-Up and Restructuring Act (Canada), the reorganization provisions of applicable corporate statutes and all other liquidation, conservatorship, bankruptcy, assignment for the benefit of creditors, moratorium, rearrangement, receivership, insolvency, restructuring, reorganization (by way of voluntary arrangement,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85445"/>
                <wp:effectExtent l="0" t="0" r="0" b="0"/>
                <wp:wrapNone/>
                <wp:docPr id="50" name="Frame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scheme of arrangement or otherwise), administration, receivership, dissolution or similar debtor relief Laws of the United States, Canada, United Kingdom or other applicable jurisdictions from time to time in effect.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Default</w:t>
      </w:r>
      <w:r>
        <w:rPr>
          <w:color w:val="000000"/>
        </w:rPr>
        <w:t xml:space="preserve">” </w:t>
      </w:r>
      <w:r>
        <w:rPr>
          <w:rFonts w:ascii="Times New Roman;serif" w:hAnsi="Times New Roman;serif"/>
          <w:b w:val="false"/>
          <w:color w:val="000000"/>
          <w:sz w:val="22"/>
        </w:rPr>
        <w:t>means any event or condition that constitutes an Event of Default or that, with the giving of any notice, the passage of time, or both, would be an Event of Default.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Default Rate</w:t>
      </w:r>
      <w:r>
        <w:rPr>
          <w:color w:val="000000"/>
        </w:rPr>
        <w:t xml:space="preserve">” </w:t>
      </w:r>
      <w:r>
        <w:rPr>
          <w:rFonts w:ascii="Times New Roman;serif" w:hAnsi="Times New Roman;serif"/>
          <w:b w:val="false"/>
          <w:color w:val="000000"/>
          <w:sz w:val="22"/>
        </w:rPr>
        <w:t xml:space="preserve">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the Applicable Rate for Revolving Loans that are Base Rate Loans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two percent (2%), in each case, to the fullest extent permitted by Applicable Law.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Default Right</w:t>
      </w:r>
      <w:r>
        <w:rPr>
          <w:color w:val="000000"/>
        </w:rPr>
        <w:t xml:space="preserve">” </w:t>
      </w:r>
      <w:r>
        <w:rPr>
          <w:rFonts w:ascii="Times New Roman;serif" w:hAnsi="Times New Roman;serif"/>
          <w:b w:val="false"/>
          <w:color w:val="000000"/>
          <w:sz w:val="22"/>
        </w:rPr>
        <w:t>has the meaning assigned to that term in, and shall be interpreted in accordance with, 12 C.F.R. §§ 252.81, 47.2 or 382.1,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Defaulting Lender</w:t>
      </w:r>
      <w:r>
        <w:rPr>
          <w:color w:val="000000"/>
        </w:rPr>
        <w:t xml:space="preserve">” </w:t>
      </w:r>
      <w:r>
        <w:rPr>
          <w:rFonts w:ascii="Times New Roman;serif" w:hAnsi="Times New Roman;serif"/>
          <w:b w:val="false"/>
          <w:color w:val="000000"/>
          <w:sz w:val="22"/>
        </w:rPr>
        <w:t xml:space="preserve">means, subject to </w:t>
      </w:r>
      <w:r>
        <w:rPr>
          <w:rFonts w:ascii="Times New Roman;serif" w:hAnsi="Times New Roman;serif"/>
          <w:b w:val="false"/>
          <w:color w:val="000000"/>
          <w:sz w:val="22"/>
          <w:u w:val="single"/>
        </w:rPr>
        <w:t>Section 2.15(b</w:t>
      </w:r>
      <w:r>
        <w:rPr>
          <w:rFonts w:ascii="Times New Roman;serif" w:hAnsi="Times New Roman;serif"/>
          <w:b w:val="false"/>
          <w:color w:val="000000"/>
          <w:sz w:val="22"/>
        </w:rPr>
        <w:t>), any Lender that (a) has failed to (i) fund all or any portion of its Loans within two (2) Business Days of the date such Loans were required to be funded hereunder unless such Lender notifies the Administrative Agent and the Borrowers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L/C Issuer, the Swingline Lender or any other Lender any other amount required to be paid by it hereunder (including in respect of its participation in Letters of Credit or Swingline Loans) within two (2) Business Days of the date when due, (b) has notified the Borrowers, the Administrative Agent, any L/C Issuer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Borrowers, to confirm in writing to the Administrative Agent and the Borrowers that it will comply with its prospective funding obligations hereunder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Lender shall cease to be a Defaulting Lender pursuant to this </w:t>
      </w:r>
      <w:r>
        <w:rPr>
          <w:rFonts w:ascii="Times New Roman;serif" w:hAnsi="Times New Roman;serif"/>
          <w:b w:val="false"/>
          <w:color w:val="000000"/>
          <w:sz w:val="22"/>
          <w:u w:val="single"/>
        </w:rPr>
        <w:t>clause (c</w:t>
      </w:r>
      <w:r>
        <w:rPr>
          <w:rFonts w:ascii="Times New Roman;serif" w:hAnsi="Times New Roman;serif"/>
          <w:b w:val="false"/>
          <w:color w:val="000000"/>
          <w:sz w:val="22"/>
        </w:rPr>
        <w:t xml:space="preserve">) upon receipt of such written confirmation by the Administrative Agent and the Borrowers), or (d) has, or has a direct or indirect parent company that has, (i) become the subject of a proceeding under any Debtor Relief Law, (ii) had appointed for it a receiver, manager, receiver and manager, custodian, conservator, trustee, administrator, assignee for the benefit of creditors or similar Person charged with reorganization or liquidation of its business or assets, including the Federal Deposit Insurance Corporation or any other state, provincial or federal regulatory authority acting in such a capacity or (iii) become the subject of a Bail-In Action;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serif" w:hAnsi="Times New Roman;serif"/>
          <w:b w:val="false"/>
          <w:color w:val="000000"/>
          <w:sz w:val="22"/>
          <w:u w:val="single"/>
        </w:rPr>
        <w:t>clauses (a</w:t>
      </w:r>
      <w:r>
        <w:rPr>
          <w:rFonts w:ascii="Times New Roman;serif" w:hAnsi="Times New Roman;serif"/>
          <w:b w:val="false"/>
          <w:color w:val="000000"/>
          <w:sz w:val="22"/>
        </w:rPr>
        <w:t>) through (</w:t>
      </w:r>
      <w:r>
        <w:rPr>
          <w:rFonts w:ascii="Times New Roman;serif" w:hAnsi="Times New Roman;serif"/>
          <w:b w:val="false"/>
          <w:color w:val="000000"/>
          <w:sz w:val="22"/>
          <w:u w:val="single"/>
        </w:rPr>
        <w:t>d</w:t>
      </w:r>
      <w:r>
        <w:rPr>
          <w:rFonts w:ascii="Times New Roman;serif" w:hAnsi="Times New Roman;serif"/>
          <w:b w:val="false"/>
          <w:color w:val="000000"/>
          <w:sz w:val="22"/>
        </w:rPr>
        <w:t xml:space="preserve">) above, and the effective date of such status, shall be conclusive and binding absent manifest error, and such Lender shall be deemed to be a Defaulting Lender (subject to </w:t>
      </w:r>
      <w:r>
        <w:rPr>
          <w:rFonts w:ascii="Times New Roman;serif" w:hAnsi="Times New Roman;serif"/>
          <w:b w:val="false"/>
          <w:color w:val="000000"/>
          <w:sz w:val="22"/>
          <w:u w:val="single"/>
        </w:rPr>
        <w:t>Section 2.15(b</w:t>
      </w:r>
      <w:r>
        <w:rPr>
          <w:rFonts w:ascii="Times New Roman;serif" w:hAnsi="Times New Roman;serif"/>
          <w:b w:val="false"/>
          <w:color w:val="000000"/>
          <w:sz w:val="22"/>
        </w:rPr>
        <w:t xml:space="preserve">)) as of the date established therefor by the Administrative Agent in a written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85445"/>
                <wp:effectExtent l="0" t="0" r="0" b="0"/>
                <wp:wrapNone/>
                <wp:docPr id="51" name="Frame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notice of such determination, which shall be delivered by the Administrative Agent to the Borrowers, each L/C Issuer, the Swingline Lender and each other Lender promptly following such determination.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Designated Borrower</w:t>
      </w:r>
      <w:r>
        <w:rPr>
          <w:color w:val="000000"/>
        </w:rPr>
        <w:t xml:space="preserve">” </w:t>
      </w:r>
      <w:r>
        <w:rPr>
          <w:rFonts w:ascii="Times New Roman;serif" w:hAnsi="Times New Roman;serif"/>
          <w:b w:val="false"/>
          <w:color w:val="000000"/>
          <w:sz w:val="22"/>
        </w:rPr>
        <w:t>has the meaning specified in the introductory paragraph 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Designated Borrower Sublimit</w:t>
      </w:r>
      <w:r>
        <w:rPr>
          <w:color w:val="000000"/>
        </w:rPr>
        <w:t xml:space="preserve">” </w:t>
      </w:r>
      <w:r>
        <w:rPr>
          <w:rFonts w:ascii="Times New Roman;serif" w:hAnsi="Times New Roman;serif"/>
          <w:b w:val="false"/>
          <w:color w:val="000000"/>
          <w:sz w:val="22"/>
        </w:rPr>
        <w:t>means an amount equal to the lesser of the Aggregate Commitments and $70,000,000. The Designated Borrower Sublimit is part of, and not in addition to, the Aggregate Commitments.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Designated Lender</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2.17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Designated Jurisdiction</w:t>
      </w:r>
      <w:r>
        <w:rPr>
          <w:color w:val="000000"/>
        </w:rPr>
        <w:t xml:space="preserve">” </w:t>
      </w:r>
      <w:r>
        <w:rPr>
          <w:rFonts w:ascii="Times New Roman;serif" w:hAnsi="Times New Roman;serif"/>
          <w:b w:val="false"/>
          <w:color w:val="000000"/>
          <w:sz w:val="22"/>
        </w:rPr>
        <w:t>means any country or territory to the extent that such country or territory is the subject of any Sanction.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Disposition</w:t>
      </w:r>
      <w:r>
        <w:rPr>
          <w:color w:val="000000"/>
        </w:rPr>
        <w:t xml:space="preserve">” </w:t>
      </w:r>
      <w:r>
        <w:rPr>
          <w:rFonts w:ascii="Times New Roman;serif" w:hAnsi="Times New Roman;serif"/>
          <w:b w:val="false"/>
          <w:color w:val="000000"/>
          <w:sz w:val="22"/>
        </w:rPr>
        <w:t>or “</w:t>
      </w:r>
      <w:r>
        <w:rPr>
          <w:rFonts w:ascii="Times New Roman;serif" w:hAnsi="Times New Roman;serif"/>
          <w:b w:val="false"/>
          <w:i/>
          <w:color w:val="000000"/>
          <w:sz w:val="22"/>
          <w:u w:val="single"/>
        </w:rPr>
        <w:t>Dispose</w:t>
      </w:r>
      <w:r>
        <w:rPr>
          <w:color w:val="000000"/>
        </w:rPr>
        <w:t xml:space="preserve">” </w:t>
      </w:r>
      <w:r>
        <w:rPr>
          <w:rFonts w:ascii="Times New Roman;serif" w:hAnsi="Times New Roman;serif"/>
          <w:b w:val="false"/>
          <w:color w:val="000000"/>
          <w:sz w:val="22"/>
        </w:rPr>
        <w:t>means the sale, transfer, license, lease or other disposition (including any Sale and Leaseback Transaction) of any property by any Loan Party or Subsidiary (or the granting of any option or other right to do any of the foregoing), including any sale, assignment, transfer or other disposal, with or without recourse, of any notes or accounts receivable or any rights and claims associated therewith.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Disqualified Equity Interests</w:t>
      </w:r>
      <w:r>
        <w:rPr>
          <w:color w:val="000000"/>
        </w:rPr>
        <w:t xml:space="preserve">” </w:t>
      </w:r>
      <w:r>
        <w:rPr>
          <w:rFonts w:ascii="Times New Roman;serif" w:hAnsi="Times New Roman;serif"/>
          <w:b w:val="false"/>
          <w:color w:val="000000"/>
          <w:sz w:val="22"/>
        </w:rPr>
        <w:t>means any Equity Interest that, by its terms (or by the terms of any security or other Equity Interests into which it is convertible or for which it is exchangeable), or upon the happening of any event or condition specified in any such terms, (a) matures or is mandatorily redeemable (in either case, other than at the option of the Company or any of its Subsidiaries or solely for Qualified Equity Interests (together with cash payments in lieu of fractional shares)),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is redeemable at the option of the holder thereof (other than solely for Qualified Equity Interests (together with cash payments in lieu of fractional shares)), in whole or in part, (c) provides for required scheduled payments of dividends in cash, or (d) is or becomes convertible into or exchangeable for Indebtedness or any other Equity Interests that would constitute Disqualified Equity Interests, in each case, prior to the date that is 180 days after the Maturity Date of the Loans at the time of issuance; provided that if such Equity Interests are issued pursuant to a plan for the benefit of employees of the Borrowers or their Subsidiaries or by any such plan to such employees or otherwise, such Equity Interests shall not constitute Disqualified Equity Interests solely because they may be required to be repurchased by the Borrowers or their Subsidiaries in order to satisfy applicable statutory or regulatory obligations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Dollar</w:t>
      </w:r>
      <w:r>
        <w:rPr>
          <w:color w:val="000000"/>
        </w:rPr>
        <w:t xml:space="preserve">” </w:t>
      </w:r>
      <w:r>
        <w:rPr>
          <w:rFonts w:ascii="Times New Roman;serif" w:hAnsi="Times New Roman;serif"/>
          <w:b w:val="false"/>
          <w:color w:val="000000"/>
          <w:sz w:val="22"/>
        </w:rPr>
        <w:t>and “</w:t>
      </w:r>
      <w:r>
        <w:rPr>
          <w:rFonts w:ascii="Times New Roman;serif" w:hAnsi="Times New Roman;serif"/>
          <w:b w:val="false"/>
          <w:i/>
          <w:color w:val="000000"/>
          <w:sz w:val="22"/>
          <w:u w:val="single"/>
        </w:rPr>
        <w:t>$</w:t>
      </w:r>
      <w:r>
        <w:rPr>
          <w:color w:val="000000"/>
        </w:rPr>
        <w:t xml:space="preserve">” </w:t>
      </w:r>
      <w:r>
        <w:rPr>
          <w:rFonts w:ascii="Times New Roman;serif" w:hAnsi="Times New Roman;serif"/>
          <w:b w:val="false"/>
          <w:color w:val="000000"/>
          <w:sz w:val="22"/>
        </w:rPr>
        <w:t>mean lawful money of the United States.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Dollar Equivalent</w:t>
      </w:r>
      <w:r>
        <w:rPr>
          <w:color w:val="000000"/>
        </w:rPr>
        <w:t xml:space="preserve">” </w:t>
      </w:r>
      <w:r>
        <w:rPr>
          <w:rFonts w:ascii="Times New Roman;serif" w:hAnsi="Times New Roman;serif"/>
          <w:b w:val="false"/>
          <w:color w:val="000000"/>
          <w:sz w:val="22"/>
        </w:rPr>
        <w:t xml:space="preserve">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or the applicable L/C Issuer, as applicable) by the applicable Bloomberg source (or such other publicly available source for displaying exchange rates) on date that is two (2) Business Days immediately preceding the date of determination (or if such service ceases to be available or ceases to provide such rate of exchange, the equivalent of such amount in Dollars as determined by the Administrative Agent or the applicable L/C Issuer, as applicable using any method of determination it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85445"/>
                <wp:effectExtent l="0" t="0" r="0" b="0"/>
                <wp:wrapNone/>
                <wp:docPr id="52" name="Frame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deems appropriate in its sole discretion) and (c) if such amount is denominated in any other currency, the equivalent of such amount in Dollars as determined by the Administrative Agent or the applicable L/C Issuer, as applicable, using any method of determination it deems appropriate in its sole discretion. Any determination by the Administrative Agent or the applicable L/C Issuer pursuant to </w:t>
      </w:r>
      <w:r>
        <w:rPr>
          <w:rFonts w:ascii="Times New Roman;serif" w:hAnsi="Times New Roman;serif"/>
          <w:b w:val="false"/>
          <w:color w:val="000000"/>
          <w:sz w:val="22"/>
          <w:u w:val="single"/>
        </w:rPr>
        <w:t>clauses (b</w:t>
      </w:r>
      <w:r>
        <w:rPr>
          <w:rFonts w:ascii="Times New Roman;serif" w:hAnsi="Times New Roman;serif"/>
          <w:b w:val="false"/>
          <w:color w:val="000000"/>
          <w:sz w:val="22"/>
        </w:rPr>
        <w:t>) or (</w:t>
      </w:r>
      <w:r>
        <w:rPr>
          <w:rFonts w:ascii="Times New Roman;serif" w:hAnsi="Times New Roman;serif"/>
          <w:b w:val="false"/>
          <w:color w:val="000000"/>
          <w:sz w:val="22"/>
          <w:u w:val="single"/>
        </w:rPr>
        <w:t>c</w:t>
      </w:r>
      <w:r>
        <w:rPr>
          <w:rFonts w:ascii="Times New Roman;serif" w:hAnsi="Times New Roman;serif"/>
          <w:b w:val="false"/>
          <w:color w:val="000000"/>
          <w:sz w:val="22"/>
        </w:rPr>
        <w:t>) above shall be conclusive absent manifest error.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Domestic Subsidiary</w:t>
      </w:r>
      <w:r>
        <w:rPr>
          <w:color w:val="000000"/>
        </w:rPr>
        <w:t xml:space="preserve">” </w:t>
      </w:r>
      <w:r>
        <w:rPr>
          <w:rFonts w:ascii="Times New Roman;serif" w:hAnsi="Times New Roman;serif"/>
          <w:b w:val="false"/>
          <w:color w:val="000000"/>
          <w:sz w:val="22"/>
        </w:rPr>
        <w:t>means any Subsidiary that is organized under the laws of the United States, any state thereof or the District of Columbia.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EEA Financial Institution</w:t>
      </w:r>
      <w:r>
        <w:rPr>
          <w:color w:val="000000"/>
        </w:rPr>
        <w:t xml:space="preserve">” </w:t>
      </w:r>
      <w:r>
        <w:rPr>
          <w:rFonts w:ascii="Times New Roman;serif" w:hAnsi="Times New Roman;serif"/>
          <w:b w:val="false"/>
          <w:color w:val="000000"/>
          <w:sz w:val="22"/>
        </w:rPr>
        <w:t xml:space="preserve">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serif" w:hAnsi="Times New Roman;serif"/>
          <w:b w:val="false"/>
          <w:color w:val="000000"/>
          <w:sz w:val="22"/>
          <w:u w:val="single"/>
        </w:rPr>
        <w:t>clause (a</w:t>
      </w:r>
      <w:r>
        <w:rPr>
          <w:rFonts w:ascii="Times New Roman;serif" w:hAnsi="Times New Roman;serif"/>
          <w:b w:val="false"/>
          <w:color w:val="000000"/>
          <w:sz w:val="22"/>
        </w:rPr>
        <w:t xml:space="preserve">) of this definition, or (c) any financial institution established in an EEA Member Country which is a Subsidiary of an institution described in </w:t>
      </w:r>
      <w:r>
        <w:rPr>
          <w:rFonts w:ascii="Times New Roman;serif" w:hAnsi="Times New Roman;serif"/>
          <w:b w:val="false"/>
          <w:color w:val="000000"/>
          <w:sz w:val="22"/>
          <w:u w:val="single"/>
        </w:rPr>
        <w:t>clauses (a</w:t>
      </w:r>
      <w:r>
        <w:rPr>
          <w:rFonts w:ascii="Times New Roman;serif" w:hAnsi="Times New Roman;serif"/>
          <w:b w:val="false"/>
          <w:color w:val="000000"/>
          <w:sz w:val="22"/>
        </w:rPr>
        <w:t>) or (</w:t>
      </w:r>
      <w:r>
        <w:rPr>
          <w:rFonts w:ascii="Times New Roman;serif" w:hAnsi="Times New Roman;serif"/>
          <w:b w:val="false"/>
          <w:color w:val="000000"/>
          <w:sz w:val="22"/>
          <w:u w:val="single"/>
        </w:rPr>
        <w:t>b</w:t>
      </w:r>
      <w:r>
        <w:rPr>
          <w:rFonts w:ascii="Times New Roman;serif" w:hAnsi="Times New Roman;serif"/>
          <w:b w:val="false"/>
          <w:color w:val="000000"/>
          <w:sz w:val="22"/>
        </w:rPr>
        <w:t>) of this definition and is subject to consolidated supervision with its parent.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EEA Member Country</w:t>
      </w:r>
      <w:r>
        <w:rPr>
          <w:color w:val="000000"/>
        </w:rPr>
        <w:t xml:space="preserve">” </w:t>
      </w:r>
      <w:r>
        <w:rPr>
          <w:rFonts w:ascii="Times New Roman;serif" w:hAnsi="Times New Roman;serif"/>
          <w:b w:val="false"/>
          <w:color w:val="000000"/>
          <w:sz w:val="22"/>
        </w:rPr>
        <w:t>means any of the member states of the European Union, Iceland, Liechtenstein, and Norway.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EEA Resolution Authority</w:t>
      </w:r>
      <w:r>
        <w:rPr>
          <w:color w:val="000000"/>
        </w:rPr>
        <w:t xml:space="preserve">” </w:t>
      </w:r>
      <w:r>
        <w:rPr>
          <w:rFonts w:ascii="Times New Roman;serif" w:hAnsi="Times New Roman;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Electronic Copy</w:t>
      </w:r>
      <w:r>
        <w:rPr>
          <w:color w:val="000000"/>
        </w:rPr>
        <w:t xml:space="preserve">” </w:t>
      </w:r>
      <w:r>
        <w:rPr>
          <w:rFonts w:ascii="Times New Roman;serif" w:hAnsi="Times New Roman;serif"/>
          <w:b w:val="false"/>
          <w:color w:val="000000"/>
          <w:sz w:val="22"/>
        </w:rPr>
        <w:t xml:space="preserve">shall have the meaning specified in </w:t>
      </w:r>
      <w:r>
        <w:rPr>
          <w:rFonts w:ascii="Times New Roman;serif" w:hAnsi="Times New Roman;serif"/>
          <w:b w:val="false"/>
          <w:color w:val="000000"/>
          <w:sz w:val="22"/>
          <w:u w:val="single"/>
        </w:rPr>
        <w:t>Section 11.18</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Electronic Record</w:t>
      </w:r>
      <w:r>
        <w:rPr>
          <w:color w:val="000000"/>
        </w:rPr>
        <w:t xml:space="preserve">” </w:t>
      </w:r>
      <w:r>
        <w:rPr>
          <w:rFonts w:ascii="Times New Roman;serif" w:hAnsi="Times New Roman;serif"/>
          <w:b w:val="false"/>
          <w:color w:val="000000"/>
          <w:sz w:val="22"/>
        </w:rPr>
        <w:t>and “</w:t>
      </w:r>
      <w:r>
        <w:rPr>
          <w:rFonts w:ascii="Times New Roman;serif" w:hAnsi="Times New Roman;serif"/>
          <w:b w:val="false"/>
          <w:i/>
          <w:color w:val="000000"/>
          <w:sz w:val="22"/>
          <w:u w:val="single"/>
        </w:rPr>
        <w:t>Electronic Signature</w:t>
      </w:r>
      <w:r>
        <w:rPr>
          <w:color w:val="000000"/>
        </w:rPr>
        <w:t xml:space="preserve">” </w:t>
      </w:r>
      <w:r>
        <w:rPr>
          <w:rFonts w:ascii="Times New Roman;serif" w:hAnsi="Times New Roman;serif"/>
          <w:b w:val="false"/>
          <w:color w:val="000000"/>
          <w:sz w:val="22"/>
        </w:rPr>
        <w:t>shall have the meanings assigned to them, respectively, by 15 USC §7006, as it may be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Eligible Assignee</w:t>
      </w:r>
      <w:r>
        <w:rPr>
          <w:color w:val="000000"/>
        </w:rPr>
        <w:t xml:space="preserve">” </w:t>
      </w:r>
      <w:r>
        <w:rPr>
          <w:rFonts w:ascii="Times New Roman;serif" w:hAnsi="Times New Roman;serif"/>
          <w:b w:val="false"/>
          <w:color w:val="000000"/>
          <w:sz w:val="22"/>
        </w:rPr>
        <w:t xml:space="preserve">means any Person that meets the requirements to be an assignee under </w:t>
      </w:r>
      <w:r>
        <w:rPr>
          <w:rFonts w:ascii="Times New Roman;serif" w:hAnsi="Times New Roman;serif"/>
          <w:b w:val="false"/>
          <w:color w:val="000000"/>
          <w:sz w:val="22"/>
          <w:u w:val="single"/>
        </w:rPr>
        <w:t>Section 11.06</w:t>
      </w:r>
      <w:r>
        <w:rPr>
          <w:color w:val="000000"/>
        </w:rPr>
        <w:t xml:space="preserve"> </w:t>
      </w:r>
      <w:r>
        <w:rPr>
          <w:rFonts w:ascii="Times New Roman;serif" w:hAnsi="Times New Roman;serif"/>
          <w:b w:val="false"/>
          <w:color w:val="000000"/>
          <w:sz w:val="22"/>
        </w:rPr>
        <w:t xml:space="preserve">(subject to such consents, if any, as may be required under </w:t>
      </w:r>
      <w:r>
        <w:rPr>
          <w:rFonts w:ascii="Times New Roman;serif" w:hAnsi="Times New Roman;serif"/>
          <w:b w:val="false"/>
          <w:color w:val="000000"/>
          <w:sz w:val="22"/>
          <w:u w:val="single"/>
        </w:rPr>
        <w:t>Section 11.06(b)(iii</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Eligible Currency</w:t>
      </w:r>
      <w:r>
        <w:rPr>
          <w:color w:val="000000"/>
        </w:rPr>
        <w:t xml:space="preserve">” </w:t>
      </w:r>
      <w:r>
        <w:rPr>
          <w:rFonts w:ascii="Times New Roman;serif" w:hAnsi="Times New Roman;serif"/>
          <w:b w:val="false"/>
          <w:color w:val="000000"/>
          <w:sz w:val="22"/>
        </w:rPr>
        <w:t xml:space="preserve">means any lawful currency other than Dollars that is readily available, freely transferable and convertible into Dollars in the international interbank market available to the Lenders or the L/C Issuer, as applicable, in such market and as to which a Dollar Equivalent may be readily calculated. If, after the designation by the Lenders or the L/C Issuer, as applicable, of any currency as an Alternative Currency (or if, with respect to any currency that constitutes an Alternative Currency on the Closing Date, after the Closing Date), any change in currency controls or exchange regulations or any change in the national or international financial, political or economic conditions are imposed in the country in which such currency is issued, result in, in the reasonable opinion of the Administrative Agent (in the case of any Loans to be denominated in an Alternative Currency) or the L/C Issuers (in the case of any Letter of Credit to be denominated in an Alternative Currency), (a) such currency no longer being readily available, freely transferable and convertible into Dollars, (b) a Dollar Equivalent is no longer readily calculable with respect to such currency, (c) providing such currency is impracticable for the Lenders or the L/C Issuer, as applicable, or (d) no longer a currency in which the Required Lenders are willing to make such Credit Extensions (each of </w:t>
      </w:r>
      <w:r>
        <w:rPr>
          <w:rFonts w:ascii="Times New Roman;serif" w:hAnsi="Times New Roman;serif"/>
          <w:b w:val="false"/>
          <w:color w:val="000000"/>
          <w:sz w:val="22"/>
          <w:u w:val="single"/>
        </w:rPr>
        <w:t>clauses (a</w:t>
      </w:r>
      <w:r>
        <w:rPr>
          <w:rFonts w:ascii="Times New Roman;serif" w:hAnsi="Times New Roman;serif"/>
          <w:b w:val="false"/>
          <w:color w:val="000000"/>
          <w:sz w:val="22"/>
        </w:rPr>
        <w:t>), (</w:t>
      </w:r>
      <w:r>
        <w:rPr>
          <w:rFonts w:ascii="Times New Roman;serif" w:hAnsi="Times New Roman;serif"/>
          <w:b w:val="false"/>
          <w:color w:val="000000"/>
          <w:sz w:val="22"/>
          <w:u w:val="single"/>
        </w:rPr>
        <w:t>b</w:t>
      </w:r>
      <w:r>
        <w:rPr>
          <w:rFonts w:ascii="Times New Roman;serif" w:hAnsi="Times New Roman;serif"/>
          <w:b w:val="false"/>
          <w:color w:val="000000"/>
          <w:sz w:val="22"/>
        </w:rPr>
        <w:t>), (</w:t>
      </w:r>
      <w:r>
        <w:rPr>
          <w:rFonts w:ascii="Times New Roman;serif" w:hAnsi="Times New Roman;serif"/>
          <w:b w:val="false"/>
          <w:color w:val="000000"/>
          <w:sz w:val="22"/>
          <w:u w:val="single"/>
        </w:rPr>
        <w:t>c</w:t>
      </w:r>
      <w:r>
        <w:rPr>
          <w:rFonts w:ascii="Times New Roman;serif" w:hAnsi="Times New Roman;serif"/>
          <w:b w:val="false"/>
          <w:color w:val="000000"/>
          <w:sz w:val="22"/>
        </w:rPr>
        <w:t>), and (</w:t>
      </w:r>
      <w:r>
        <w:rPr>
          <w:rFonts w:ascii="Times New Roman;serif" w:hAnsi="Times New Roman;serif"/>
          <w:b w:val="false"/>
          <w:color w:val="000000"/>
          <w:sz w:val="22"/>
          <w:u w:val="single"/>
        </w:rPr>
        <w:t>d</w:t>
      </w:r>
      <w:r>
        <w:rPr>
          <w:rFonts w:ascii="Times New Roman;serif" w:hAnsi="Times New Roman;serif"/>
          <w:b w:val="false"/>
          <w:color w:val="000000"/>
          <w:sz w:val="22"/>
        </w:rPr>
        <w:t>) a “</w:t>
      </w:r>
      <w:r>
        <w:rPr>
          <w:rFonts w:ascii="Times New Roman;serif" w:hAnsi="Times New Roman;serif"/>
          <w:b w:val="false"/>
          <w:i/>
          <w:color w:val="000000"/>
          <w:sz w:val="22"/>
          <w:u w:val="single"/>
        </w:rPr>
        <w:t>Disqualifying Event</w:t>
      </w:r>
      <w:r>
        <w:rPr>
          <w:color w:val="000000"/>
        </w:rPr>
        <w:t>”</w:t>
      </w:r>
      <w:r>
        <w:rPr>
          <w:rFonts w:ascii="Times New Roman;serif" w:hAnsi="Times New Roman;serif"/>
          <w:b w:val="false"/>
          <w:color w:val="000000"/>
          <w:sz w:val="22"/>
        </w:rPr>
        <w:t>), then the Administrative Agent shall promptly notify the Lenders and the Company, and such country’s currency shall no longer be an Alternative Currency until such time as the Disqualifying Event(s) no longer exist(s). Within five (5) Business Days after receipt of such notice from the Administrative Agent, the Borrowers shall repay all Loans in such currency to which the Disqualifying Event applies or convert such Loans into the Dollar Equivalent of Loans in Dollars, subject to the other terms contained herein.</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85445"/>
                <wp:effectExtent l="0" t="0" r="0" b="0"/>
                <wp:wrapNone/>
                <wp:docPr id="53"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Environment</w:t>
      </w:r>
      <w:r>
        <w:rPr>
          <w:color w:val="000000"/>
        </w:rPr>
        <w:t xml:space="preserve">” </w:t>
      </w:r>
      <w:r>
        <w:rPr>
          <w:rFonts w:ascii="Times New Roman;serif" w:hAnsi="Times New Roman;serif"/>
          <w:b w:val="false"/>
          <w:color w:val="000000"/>
          <w:sz w:val="22"/>
        </w:rPr>
        <w:t>means ambient air, indoor air, surface water, groundwater, drinking water, soil, surface and subsurface strata, and natural resources such as wetland, flora and fauna.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Environmental Laws</w:t>
      </w:r>
      <w:r>
        <w:rPr>
          <w:color w:val="000000"/>
        </w:rPr>
        <w:t xml:space="preserve">” </w:t>
      </w:r>
      <w:r>
        <w:rPr>
          <w:rFonts w:ascii="Times New Roman;serif" w:hAnsi="Times New Roman;serif"/>
          <w:b w:val="false"/>
          <w:color w:val="000000"/>
          <w:sz w:val="22"/>
        </w:rPr>
        <w:t>means any and all federal, state, provincial, territorial, local, and foreign statutes, laws (including common law), regulations, standards, ordinances, rules, judgments, interpretations, orders, decrees, permits, agreements or governmental restrictions relating to pollution or the protection of the Environment or human health (to the extent related to exposure to hazardous materials), including those relating to the manufacture, generation, handling, transport, storage, treatment, Release or threat of Release of Hazardous Materials, air emissions and discharges to waste or public systems.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Environmental Liability</w:t>
      </w:r>
      <w:r>
        <w:rPr>
          <w:color w:val="000000"/>
        </w:rPr>
        <w:t xml:space="preserve">” </w:t>
      </w:r>
      <w:r>
        <w:rPr>
          <w:rFonts w:ascii="Times New Roman;serif" w:hAnsi="Times New Roman;serif"/>
          <w:b w:val="false"/>
          <w:color w:val="000000"/>
          <w:sz w:val="22"/>
        </w:rPr>
        <w:t>means any liability, contingent or otherwise (including any liability for damages, costs of environmental remediation, fines, penalties or indemnities) whether based in contract, tort, implied or express warranty, strict liability, criminal or civil statute or common law, directly or indirectly relating to (a) any Environmental Law, (b) the generation, use, handling, transportation, storage, treatment or disposal of any Hazardous Materials, (c) exposure to any Hazardous Materials, (d) Release or threatened Release of any Hazardous Materials or (e) any contract, agreement or other consensual arrangement pursuant to which liability is assumed or imposed with respect to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Environmental Permit</w:t>
      </w:r>
      <w:r>
        <w:rPr>
          <w:color w:val="000000"/>
        </w:rPr>
        <w:t xml:space="preserve">” </w:t>
      </w:r>
      <w:r>
        <w:rPr>
          <w:rFonts w:ascii="Times New Roman;serif" w:hAnsi="Times New Roman;serif"/>
          <w:b w:val="false"/>
          <w:color w:val="000000"/>
          <w:sz w:val="22"/>
        </w:rPr>
        <w:t>means any permit, certification, registration, approval, identification number, license or other authorization required under any Environmental Law.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Equity Interests</w:t>
      </w:r>
      <w:r>
        <w:rPr>
          <w:color w:val="000000"/>
        </w:rPr>
        <w:t xml:space="preserve">” </w:t>
      </w:r>
      <w:r>
        <w:rPr>
          <w:rFonts w:ascii="Times New Roman;serif" w:hAnsi="Times New Roman;serif"/>
          <w:b w:val="false"/>
          <w:color w:val="000000"/>
          <w:sz w:val="22"/>
        </w:rPr>
        <w:t>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ERISA</w:t>
      </w:r>
      <w:r>
        <w:rPr>
          <w:color w:val="000000"/>
        </w:rPr>
        <w:t xml:space="preserve">” </w:t>
      </w:r>
      <w:r>
        <w:rPr>
          <w:rFonts w:ascii="Times New Roman;serif" w:hAnsi="Times New Roman;serif"/>
          <w:b w:val="false"/>
          <w:color w:val="000000"/>
          <w:sz w:val="22"/>
        </w:rPr>
        <w:t>means the Employee Retirement Income Security Act of 1974, as amended, and the rules and regulations promulgated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ERISA Affiliate</w:t>
      </w:r>
      <w:r>
        <w:rPr>
          <w:color w:val="000000"/>
        </w:rPr>
        <w:t xml:space="preserve">” </w:t>
      </w:r>
      <w:r>
        <w:rPr>
          <w:rFonts w:ascii="Times New Roman;serif" w:hAnsi="Times New Roman;serif"/>
          <w:b w:val="false"/>
          <w:color w:val="000000"/>
          <w:sz w:val="22"/>
        </w:rPr>
        <w:t>means any trade or business (whether or not incorporated) under common control with any Borrower within the meaning of Sections 414(b) or (c) of the Code (and Sections 414(m) and (o) of the Code for purposes of provisions relating to Section 412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ERISA Event</w:t>
      </w:r>
      <w:r>
        <w:rPr>
          <w:color w:val="000000"/>
        </w:rPr>
        <w:t xml:space="preserve">” </w:t>
      </w:r>
      <w:r>
        <w:rPr>
          <w:rFonts w:ascii="Times New Roman;serif" w:hAnsi="Times New Roman;serif"/>
          <w:b w:val="false"/>
          <w:color w:val="000000"/>
          <w:sz w:val="22"/>
        </w:rPr>
        <w:t xml:space="preserve">means (a) a Reportable Event with respect to a Pension Plan; (b) the withdrawal of any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any Borrower or any ERISA Affiliate from a Multiemployer Plan;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85445"/>
                <wp:effectExtent l="0" t="0" r="0" b="0"/>
                <wp:wrapNone/>
                <wp:docPr id="54"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any Borrower or any ERISA Affiliate or (i) a failure by any Borrower or any ERISA Affiliate to meet all applicable requirements under the Pension Funding Rules in respect of a Pension Plan, whether or not waived, or the failure by any Borrower or any ERISA Affiliate to make any required contribution to a Multiemployer Plan.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EU Bail</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In Legislation Schedule</w:t>
      </w:r>
      <w:r>
        <w:rPr>
          <w:color w:val="000000"/>
        </w:rPr>
        <w:t xml:space="preserve">” </w:t>
      </w:r>
      <w:r>
        <w:rPr>
          <w:rFonts w:ascii="Times New Roman;serif" w:hAnsi="Times New Roman;serif"/>
          <w:b w:val="false"/>
          <w:color w:val="000000"/>
          <w:sz w:val="22"/>
        </w:rPr>
        <w:t>means the EU Bail-In Legislation Schedule published by the Loan Market Association (or any successor person), as in effect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Euro</w:t>
      </w:r>
      <w:r>
        <w:rPr>
          <w:color w:val="000000"/>
        </w:rPr>
        <w:t xml:space="preserve">” </w:t>
      </w:r>
      <w:r>
        <w:rPr>
          <w:rFonts w:ascii="Times New Roman;serif" w:hAnsi="Times New Roman;serif"/>
          <w:b w:val="false"/>
          <w:color w:val="000000"/>
          <w:sz w:val="22"/>
        </w:rPr>
        <w:t>and “</w:t>
      </w:r>
      <w:r>
        <w:rPr>
          <w:color w:val="000000"/>
          <w:u w:val="single"/>
        </w:rPr>
        <w:t>€</w:t>
      </w:r>
      <w:r>
        <w:rPr>
          <w:color w:val="000000"/>
        </w:rPr>
        <w:t xml:space="preserve">” </w:t>
      </w:r>
      <w:r>
        <w:rPr>
          <w:rFonts w:ascii="Times New Roman;serif" w:hAnsi="Times New Roman;serif"/>
          <w:b w:val="false"/>
          <w:color w:val="000000"/>
          <w:sz w:val="22"/>
        </w:rPr>
        <w:t>mean the single currency of the Participating Member States.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Event of Default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8.01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Excluded Swap Obligation</w:t>
      </w:r>
      <w:r>
        <w:rPr>
          <w:color w:val="000000"/>
        </w:rPr>
        <w:t xml:space="preserve">” </w:t>
      </w:r>
      <w:r>
        <w:rPr>
          <w:rFonts w:ascii="Times New Roman;serif" w:hAnsi="Times New Roman;serif"/>
          <w:b w:val="false"/>
          <w:color w:val="000000"/>
          <w:sz w:val="22"/>
        </w:rPr>
        <w:t xml:space="preserve">means, with respect to any Loan Party, any Swap Obligation if, and to the extent that, all or a portion of the Guaranty of such Loan Party of, or the grant by such Loan Party of a Lien to secure, such Swap Obligation (or any Guarantee thereof) is or becomes illegal under the Commodity Exchange Act or any rule, regulation or order of the Commodity Futures Trading Commission (or the application or official interpretation thereof) by virtue of such Loan Party’s failure for any reason to constitute an “eligible contract participant” as defined in the Commodity Exchange Act (determined after giving effect to </w:t>
      </w:r>
      <w:r>
        <w:rPr>
          <w:rFonts w:ascii="Times New Roman;serif" w:hAnsi="Times New Roman;serif"/>
          <w:b w:val="false"/>
          <w:color w:val="000000"/>
          <w:sz w:val="22"/>
          <w:u w:val="single"/>
        </w:rPr>
        <w:t>Section 10.11</w:t>
      </w:r>
      <w:r>
        <w:rPr>
          <w:color w:val="000000"/>
        </w:rPr>
        <w:t xml:space="preserve"> </w:t>
      </w:r>
      <w:r>
        <w:rPr>
          <w:rFonts w:ascii="Times New Roman;serif" w:hAnsi="Times New Roman;serif"/>
          <w:b w:val="false"/>
          <w:color w:val="000000"/>
          <w:sz w:val="22"/>
        </w:rPr>
        <w:t>and any other “keepwell”, support or other agreement for the benefit of such Loan Party and any and all guarantees of such Loan Party’s Swap Obligations by other Loan Parties) at the time the Guaranty of such Loan Party , or grant by such Loan Party of a Lien,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Lien is or becomes excluded in accordance with the first sentence of this definition.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Excluded Taxes</w:t>
      </w:r>
      <w:r>
        <w:rPr>
          <w:color w:val="000000"/>
        </w:rPr>
        <w:t xml:space="preserve">” </w:t>
      </w:r>
      <w:r>
        <w:rPr>
          <w:rFonts w:ascii="Times New Roman;serif" w:hAnsi="Times New Roman;serif"/>
          <w:b w:val="false"/>
          <w:color w:val="000000"/>
          <w:sz w:val="22"/>
        </w:rPr>
        <w:t xml:space="preserve">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(ii) that are Other Connection Taxes, or (iii) capital Taxes imposed on or measured by such Recipient’s taxable capital, (b) in the case of a Lender, U.S. federal withholding Taxes or UK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any Borrower under </w:t>
      </w:r>
      <w:r>
        <w:rPr>
          <w:rFonts w:ascii="Times New Roman;serif" w:hAnsi="Times New Roman;serif"/>
          <w:b w:val="false"/>
          <w:color w:val="000000"/>
          <w:sz w:val="22"/>
          <w:u w:val="single"/>
        </w:rPr>
        <w:t>Section 3.06(b)</w:t>
      </w:r>
      <w:r>
        <w:rPr>
          <w:color w:val="000000"/>
        </w:rPr>
        <w:t xml:space="preserve"> </w:t>
      </w:r>
      <w:r>
        <w:rPr>
          <w:rFonts w:ascii="Times New Roman;serif" w:hAnsi="Times New Roman;serif"/>
          <w:b w:val="false"/>
          <w:color w:val="000000"/>
          <w:sz w:val="22"/>
        </w:rPr>
        <w:t xml:space="preserve">unless, in relation to any amounts payable by a UK Loan Party, such Lender is not a Qualifying Lender) or (ii) such Lender changes its Lending Office, except in each case to the extent that, pursuant to </w:t>
      </w:r>
      <w:r>
        <w:rPr>
          <w:rFonts w:ascii="Times New Roman;serif" w:hAnsi="Times New Roman;serif"/>
          <w:b w:val="false"/>
          <w:color w:val="000000"/>
          <w:sz w:val="22"/>
          <w:u w:val="single"/>
        </w:rPr>
        <w:t>Sections 3.01(b</w:t>
      </w:r>
      <w:r>
        <w:rPr>
          <w:rFonts w:ascii="Times New Roman;serif" w:hAnsi="Times New Roman;serif"/>
          <w:b w:val="false"/>
          <w:color w:val="000000"/>
          <w:sz w:val="22"/>
        </w:rPr>
        <w:t>) or (</w:t>
      </w:r>
      <w:r>
        <w:rPr>
          <w:rFonts w:ascii="Times New Roman;serif" w:hAnsi="Times New Roman;serif"/>
          <w:b w:val="false"/>
          <w:color w:val="000000"/>
          <w:sz w:val="22"/>
          <w:u w:val="single"/>
        </w:rPr>
        <w:t>d</w:t>
      </w:r>
      <w:r>
        <w:rPr>
          <w:rFonts w:ascii="Times New Roman;serif" w:hAnsi="Times New Roman;serif"/>
          <w:b w:val="false"/>
          <w:color w:val="000000"/>
          <w:sz w:val="22"/>
        </w:rPr>
        <w:t xml:space="preserve">), amounts with respect to such Taxes were payable either to such Lender’s assignor immediately before such Lender became a party hereto or to such Lender immediately before it changed its Lending Office, (e) Taxes attributable to such Recipient’s failure to comply with </w:t>
      </w:r>
      <w:r>
        <w:rPr>
          <w:rFonts w:ascii="Times New Roman;serif" w:hAnsi="Times New Roman;serif"/>
          <w:b w:val="false"/>
          <w:color w:val="000000"/>
          <w:sz w:val="22"/>
          <w:u w:val="single"/>
        </w:rPr>
        <w:t>Section 3.01(f</w:t>
      </w:r>
      <w:r>
        <w:rPr>
          <w:rFonts w:ascii="Times New Roman;serif" w:hAnsi="Times New Roman;serif"/>
          <w:b w:val="false"/>
          <w:color w:val="000000"/>
          <w:sz w:val="22"/>
        </w:rPr>
        <w:t xml:space="preserve">), (f) any U.S. federal withholding Taxes or UK withholding Taxes imposed pursuant to FATCA, and (g) any Canadian withholding Taxes arising as a result of (i) the Lender not dealing at arm’s length (for the purposes of the Canadian Tax Act) with any Loan Party, (ii) the Lender being a “specified non-resident shareholder” (as defined in subsection 18(5) of the Canadian Tax Act) of the Canadian Borrower or not dealing at arm’s length (for the purposes of the Canadian Tax Act)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85445"/>
                <wp:effectExtent l="0" t="0" r="0" b="0"/>
                <wp:wrapNone/>
                <wp:docPr id="55"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with a “specified shareholder” (as defined in subsection 18(5) of the Canadian Tax Act) of the Canadian Borrower, or (iii) a Loan Party being a “specified entity” (as defined in subsection 18.4(1) of the Canadian Tax Act) in respect of the Lender, except in the case of (i) through (iii) where (x) the non-arm’s length relationship, (y) the Lender being a “specified non-resident shareholder” of the Canadian Borrower or not dealing at arm’s length with a “specified shareholder” of the Canadian Borrower, or (z) a Loan Party being a “specified entity” in respect of the Lender, as applicable, arises in connection with or as a result of the Lender having executed, delivered, become a party to, performed its obligations under, received payments under, received or perfected a security interest under or received or enforced any rights under this Agreement or any Loan Document. Notwithstanding anything to the contrary contained in this definition, “Excluded Taxes” (with the exception of any “Excluded Taxes” described in (g) above) shall not include any withholding Tax imposed at any time on payments made by or on behalf of a Foreign Borrower, except where such withholding is on account of Taxes imposed by the United Kingdom, to any Lender hereunder or under any other Loan Document, provided that such Lender shall have complied with </w:t>
      </w:r>
      <w:r>
        <w:rPr>
          <w:rFonts w:ascii="Times New Roman;serif" w:hAnsi="Times New Roman;serif"/>
          <w:b w:val="false"/>
          <w:color w:val="000000"/>
          <w:sz w:val="22"/>
          <w:u w:val="single"/>
        </w:rPr>
        <w:t>Section 3.01(f)</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Existing Credit Agreement</w:t>
      </w:r>
      <w:r>
        <w:rPr>
          <w:color w:val="000000"/>
        </w:rPr>
        <w:t xml:space="preserve">” </w:t>
      </w:r>
      <w:r>
        <w:rPr>
          <w:rFonts w:ascii="Times New Roman;serif" w:hAnsi="Times New Roman;serif"/>
          <w:b w:val="false"/>
          <w:color w:val="000000"/>
          <w:sz w:val="22"/>
        </w:rPr>
        <w:t>means that certain Credit Agreement, dated as of August 19, 2022 (as amended by that certain Amendment No. 1 to Credit Agreement, dated as of June 21, 2024, as further amended by that certain Amendment No. 2, dated as of May 4, 2026, and as further amended, restated, supplemented or modified from time to time, the “</w:t>
      </w:r>
      <w:r>
        <w:rPr>
          <w:rFonts w:ascii="Times New Roman;serif" w:hAnsi="Times New Roman;serif"/>
          <w:b w:val="false"/>
          <w:color w:val="000000"/>
          <w:sz w:val="22"/>
          <w:u w:val="single"/>
        </w:rPr>
        <w:t>Existing Credit Agreement</w:t>
      </w:r>
      <w:r>
        <w:rPr>
          <w:color w:val="000000"/>
        </w:rPr>
        <w:t>”</w:t>
      </w:r>
      <w:r>
        <w:rPr>
          <w:rFonts w:ascii="Times New Roman;serif" w:hAnsi="Times New Roman;serif"/>
          <w:b w:val="false"/>
          <w:color w:val="000000"/>
          <w:sz w:val="22"/>
        </w:rPr>
        <w:t>), by and among the Borrowers, the Guarantors, certain lending institutions party thereto, as lenders, and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Existing Letters</w:t>
      </w:r>
      <w:r>
        <w:rPr>
          <w:color w:val="000000"/>
          <w:u w:val="single"/>
        </w:rPr>
        <w:t xml:space="preserve"> </w:t>
      </w:r>
      <w:r>
        <w:rPr>
          <w:rFonts w:ascii="Times New Roman;serif" w:hAnsi="Times New Roman;serif"/>
          <w:b w:val="false"/>
          <w:i/>
          <w:color w:val="000000"/>
          <w:sz w:val="22"/>
          <w:u w:val="single"/>
        </w:rPr>
        <w:t>of Credit</w:t>
      </w:r>
      <w:r>
        <w:rPr>
          <w:color w:val="000000"/>
        </w:rPr>
        <w:t xml:space="preserve">” </w:t>
      </w:r>
      <w:r>
        <w:rPr>
          <w:rFonts w:ascii="Times New Roman;serif" w:hAnsi="Times New Roman;serif"/>
          <w:b w:val="false"/>
          <w:color w:val="000000"/>
          <w:sz w:val="22"/>
        </w:rPr>
        <w:t xml:space="preserve">means those certain letters of credit set forth on </w:t>
      </w:r>
      <w:r>
        <w:rPr>
          <w:rFonts w:ascii="Times New Roman;serif" w:hAnsi="Times New Roman;serif"/>
          <w:b w:val="false"/>
          <w:color w:val="000000"/>
          <w:sz w:val="22"/>
          <w:u w:val="single"/>
        </w:rPr>
        <w:t>Schedule 1.01(d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Facility</w:t>
      </w:r>
      <w:r>
        <w:rPr>
          <w:color w:val="000000"/>
        </w:rPr>
        <w:t xml:space="preserve">” </w:t>
      </w:r>
      <w:r>
        <w:rPr>
          <w:rFonts w:ascii="Times New Roman;serif" w:hAnsi="Times New Roman;serif"/>
          <w:b w:val="false"/>
          <w:color w:val="000000"/>
          <w:sz w:val="22"/>
        </w:rPr>
        <w:t>means the Term Facility, the Revolving Facility or any Incremental Facility, as the context may require.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Facility Termination Date</w:t>
      </w:r>
      <w:r>
        <w:rPr>
          <w:color w:val="000000"/>
        </w:rPr>
        <w:t xml:space="preserve">” </w:t>
      </w:r>
      <w:r>
        <w:rPr>
          <w:rFonts w:ascii="Times New Roman;serif" w:hAnsi="Times New Roman;serif"/>
          <w:b w:val="false"/>
          <w:color w:val="000000"/>
          <w:sz w:val="22"/>
        </w:rPr>
        <w:t>means the date as of which all of the following shall have occurred: (a) the Aggregate Commitments have terminated, (b) all Obligations have been paid in full (other than contingent indemnification and similar obligations), and (c) all Letters of Credit have terminated or expired (other than Letters of Credit which have been Cash Collateralized or as to which other arrangements with respect thereto satisfactory to the Administrative Agent and the applicable L/C Issuers shall have been made).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FASB ASC</w:t>
      </w:r>
      <w:r>
        <w:rPr>
          <w:color w:val="000000"/>
        </w:rPr>
        <w:t xml:space="preserve">” </w:t>
      </w:r>
      <w:r>
        <w:rPr>
          <w:rFonts w:ascii="Times New Roman;serif" w:hAnsi="Times New Roman;serif"/>
          <w:b w:val="false"/>
          <w:color w:val="000000"/>
          <w:sz w:val="22"/>
        </w:rPr>
        <w:t>means the Accounting Standards Codification of the Financial Accounting Standards Board.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FATCA</w:t>
      </w:r>
      <w:r>
        <w:rPr>
          <w:color w:val="000000"/>
        </w:rPr>
        <w:t xml:space="preserve">” </w:t>
      </w:r>
      <w:r>
        <w:rPr>
          <w:rFonts w:ascii="Times New Roman;serif" w:hAnsi="Times New Roman;serif"/>
          <w:b w:val="false"/>
          <w:color w:val="000000"/>
          <w:sz w:val="22"/>
        </w:rPr>
        <w:t>means Sections 1471 through 1474 of the Code, as of the date of this Agreement (or any amended or successor version that is substantively comparable and not materially more onerous to comply with), any current or future regulations or official interpretations thereof, any current or future agreements entered into pursuant to Section 1471(b)(1) of the Code as of the date of this Agreement (or any amended or successor version described above) and any intergovernmental agreement (and related fiscal or regulatory legislation, or related official rules or practices) implementing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FATCA Deduction</w:t>
      </w:r>
      <w:r>
        <w:rPr>
          <w:color w:val="000000"/>
        </w:rPr>
        <w:t xml:space="preserve">” </w:t>
      </w:r>
      <w:r>
        <w:rPr>
          <w:rFonts w:ascii="Times New Roman;serif" w:hAnsi="Times New Roman;serif"/>
          <w:b w:val="false"/>
          <w:color w:val="000000"/>
          <w:sz w:val="22"/>
        </w:rPr>
        <w:t>means a deduction or withholding from a payment under a Finance Document required by FATCA.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Federal Funds Rate</w:t>
      </w:r>
      <w:r>
        <w:rPr>
          <w:color w:val="000000"/>
        </w:rPr>
        <w:t xml:space="preserve">” </w:t>
      </w:r>
      <w:r>
        <w:rPr>
          <w:rFonts w:ascii="Times New Roman;serif" w:hAnsi="Times New Roman;serif"/>
          <w:b w:val="false"/>
          <w:color w:val="000000"/>
          <w:sz w:val="22"/>
        </w:rPr>
        <w:t xml:space="preserve">means, for any day, the rate per annum calculated by the Federal Reserve Bank of New York based on such day’s federal funds transactions by depository institutions (as determined in such manner as the Federal Reserve Bank of New York shall set forth on its public website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85445"/>
                <wp:effectExtent l="0" t="0" r="0" b="0"/>
                <wp:wrapNone/>
                <wp:docPr id="56"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from time to time) and published on the next succeeding Business Day by the Federal Reserve Bank of New York as the federal funds effective rate; provided that if the Federal Funds Rate as so determined would be less than zero, such rate shall be deemed to be zero for the purposes of this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Fee Letter</w:t>
      </w:r>
      <w:r>
        <w:rPr>
          <w:color w:val="000000"/>
        </w:rPr>
        <w:t xml:space="preserve">” </w:t>
      </w:r>
      <w:r>
        <w:rPr>
          <w:rFonts w:ascii="Times New Roman;serif" w:hAnsi="Times New Roman;serif"/>
          <w:b w:val="false"/>
          <w:color w:val="000000"/>
          <w:sz w:val="22"/>
        </w:rPr>
        <w:t>means the letter agreement, dated July 7, 2026, between the Company, the Administrative Agent and the Arranger.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Financial Support Direction</w:t>
      </w:r>
      <w:r>
        <w:rPr>
          <w:color w:val="000000"/>
        </w:rPr>
        <w:t xml:space="preserve">” </w:t>
      </w:r>
      <w:r>
        <w:rPr>
          <w:rFonts w:ascii="Times New Roman;serif" w:hAnsi="Times New Roman;serif"/>
          <w:b w:val="false"/>
          <w:color w:val="000000"/>
          <w:sz w:val="22"/>
        </w:rPr>
        <w:t>means a financial support direction issued by the Pensions Regulator under section 43 of the United Kingdom Pensions Act 2004.</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Foreign Borrower</w:t>
      </w:r>
      <w:r>
        <w:rPr>
          <w:color w:val="000000"/>
        </w:rPr>
        <w:t xml:space="preserve">” </w:t>
      </w:r>
      <w:r>
        <w:rPr>
          <w:rFonts w:ascii="Times New Roman;serif" w:hAnsi="Times New Roman;serif"/>
          <w:b w:val="false"/>
          <w:color w:val="000000"/>
          <w:sz w:val="22"/>
        </w:rPr>
        <w:t>means any Borrower that is organized under the laws of a jurisdiction other than the United States, a state thereof or the District of Columbia.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Foreign Recipient</w:t>
      </w:r>
      <w:r>
        <w:rPr>
          <w:color w:val="000000"/>
        </w:rPr>
        <w:t xml:space="preserve">” </w:t>
      </w:r>
      <w:r>
        <w:rPr>
          <w:rFonts w:ascii="Times New Roman;serif" w:hAnsi="Times New Roman;serif"/>
          <w:b w:val="false"/>
          <w:color w:val="000000"/>
          <w:sz w:val="22"/>
        </w:rPr>
        <w:t>means, with respect to any Borrower (a) if such Borrower is a U.S. Person, a Recipient that is not a U.S. Person, and (b) if such Borrower is not a U.S. Person, a Recipient that is resident or organized under the laws of a jurisdiction other than that in which such Borrower is resident for tax purposes. For purposes of this definition, the United States, each State thereof and the District of Columbia shall be deemed to constitute a single jurisdiction.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Foreign Obligor</w:t>
      </w:r>
      <w:r>
        <w:rPr>
          <w:color w:val="000000"/>
        </w:rPr>
        <w:t xml:space="preserve">” </w:t>
      </w:r>
      <w:r>
        <w:rPr>
          <w:rFonts w:ascii="Times New Roman;serif" w:hAnsi="Times New Roman;serif"/>
          <w:b w:val="false"/>
          <w:color w:val="000000"/>
          <w:sz w:val="22"/>
        </w:rPr>
        <w:t>means a Loan Party that is a Foreign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Foreign Subsidiary</w:t>
      </w:r>
      <w:r>
        <w:rPr>
          <w:color w:val="000000"/>
        </w:rPr>
        <w:t xml:space="preserve">” </w:t>
      </w:r>
      <w:r>
        <w:rPr>
          <w:rFonts w:ascii="Times New Roman;serif" w:hAnsi="Times New Roman;serif"/>
          <w:b w:val="false"/>
          <w:color w:val="000000"/>
          <w:sz w:val="22"/>
        </w:rPr>
        <w:t>means any Subsidiary that is organized under the laws of a jurisdiction other than the United States, a State thereof or the District of Columbia.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FRB</w:t>
      </w:r>
      <w:r>
        <w:rPr>
          <w:color w:val="000000"/>
        </w:rPr>
        <w:t xml:space="preserve">” </w:t>
      </w:r>
      <w:r>
        <w:rPr>
          <w:rFonts w:ascii="Times New Roman;serif" w:hAnsi="Times New Roman;serif"/>
          <w:b w:val="false"/>
          <w:color w:val="000000"/>
          <w:sz w:val="22"/>
        </w:rPr>
        <w:t>means the Board of Governors of the Federal Reserve System of the United States.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Fronting Exposure</w:t>
      </w:r>
      <w:r>
        <w:rPr>
          <w:color w:val="000000"/>
        </w:rPr>
        <w:t xml:space="preserve">” </w:t>
      </w:r>
      <w:r>
        <w:rPr>
          <w:rFonts w:ascii="Times New Roman;serif" w:hAnsi="Times New Roman;serif"/>
          <w:b w:val="false"/>
          <w:color w:val="000000"/>
          <w:sz w:val="22"/>
        </w:rPr>
        <w:t>means, at any time there is a Defaulting Lender that is a Revolving Lender, (a) with respect to any L/C Issuer, such Defaulting Lender’s Applicable Percentage of the outstanding L/C Obligations other than L/C Obligations as to which such Defaulting Lender’s participation obligation has been reallocated to other Revolving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Revolving Lenders or Cash Collateralized in accordance with the terms 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Fund</w:t>
      </w:r>
      <w:r>
        <w:rPr>
          <w:color w:val="000000"/>
        </w:rPr>
        <w:t xml:space="preserve">” </w:t>
      </w:r>
      <w:r>
        <w:rPr>
          <w:rFonts w:ascii="Times New Roman;serif" w:hAnsi="Times New Roman;serif"/>
          <w:b w:val="false"/>
          <w:color w:val="000000"/>
          <w:sz w:val="22"/>
        </w:rPr>
        <w:t>means any Person (other than a natural Person) that is (or will be) engaged in making, purchasing, holding or otherwise investing in commercial loans and similar extensions of credit in the ordinary course of its activities.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Funding Indemnity Letter</w:t>
      </w:r>
      <w:r>
        <w:rPr>
          <w:color w:val="000000"/>
        </w:rPr>
        <w:t xml:space="preserve">” </w:t>
      </w:r>
      <w:r>
        <w:rPr>
          <w:rFonts w:ascii="Times New Roman;serif" w:hAnsi="Times New Roman;serif"/>
          <w:b w:val="false"/>
          <w:color w:val="000000"/>
          <w:sz w:val="22"/>
        </w:rPr>
        <w:t xml:space="preserve">means a funding indemnity letter, substantially in the form of </w:t>
      </w:r>
      <w:r>
        <w:rPr>
          <w:rFonts w:ascii="Times New Roman;serif" w:hAnsi="Times New Roman;serif"/>
          <w:b w:val="false"/>
          <w:color w:val="000000"/>
          <w:sz w:val="22"/>
          <w:u w:val="single"/>
        </w:rPr>
        <w:t>Exhibit M</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GAAP</w:t>
      </w:r>
      <w:r>
        <w:rPr>
          <w:color w:val="000000"/>
        </w:rPr>
        <w:t xml:space="preserve">” </w:t>
      </w:r>
      <w:r>
        <w:rPr>
          <w:rFonts w:ascii="Times New Roman;serif" w:hAnsi="Times New Roman;serif"/>
          <w:b w:val="false"/>
          <w:color w:val="000000"/>
          <w:sz w:val="22"/>
        </w:rPr>
        <w:t xml:space="preserve">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without limitation, the FASB Accounting Standards Codification, that are applicable to the circumstances as of the date of determination, consistently applied and subject to </w:t>
      </w:r>
      <w:r>
        <w:rPr>
          <w:rFonts w:ascii="Times New Roman;serif" w:hAnsi="Times New Roman;serif"/>
          <w:b w:val="false"/>
          <w:color w:val="000000"/>
          <w:sz w:val="22"/>
          <w:u w:val="single"/>
        </w:rPr>
        <w:t>Section 1.03</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85445"/>
                <wp:effectExtent l="0" t="0" r="0" b="0"/>
                <wp:wrapNone/>
                <wp:docPr id="57" name="Frame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Governmental Authority</w:t>
      </w:r>
      <w:r>
        <w:rPr>
          <w:color w:val="000000"/>
        </w:rPr>
        <w:t xml:space="preserve">” </w:t>
      </w:r>
      <w:r>
        <w:rPr>
          <w:rFonts w:ascii="Times New Roman;serif" w:hAnsi="Times New Roman;serif"/>
          <w:b w:val="false"/>
          <w:color w:val="000000"/>
          <w:sz w:val="22"/>
        </w:rPr>
        <w:t>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the Financial Conduct Authority, the Prudential Regulation Authority and any supra-national bodies such as the European Union or the European Central Bank).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Guarantee</w:t>
      </w:r>
      <w:r>
        <w:rPr>
          <w:color w:val="000000"/>
        </w:rPr>
        <w:t xml:space="preserve">” </w:t>
      </w:r>
      <w:r>
        <w:rPr>
          <w:rFonts w:ascii="Times New Roman;serif" w:hAnsi="Times New Roman;serif"/>
          <w:b w:val="false"/>
          <w:color w:val="000000"/>
          <w:sz w:val="22"/>
        </w:rPr>
        <w:t xml:space="preserve">means, as to any Person, (a) any obligation, contingent or otherwise, of such Person guaranteeing or having the economic effect of guaranteeing any Indebtedness of the kind described in </w:t>
      </w:r>
      <w:r>
        <w:rPr>
          <w:rFonts w:ascii="Times New Roman;serif" w:hAnsi="Times New Roman;serif"/>
          <w:b w:val="false"/>
          <w:color w:val="000000"/>
          <w:sz w:val="22"/>
          <w:u w:val="single"/>
        </w:rPr>
        <w:t>clauses (a</w:t>
      </w:r>
      <w:r>
        <w:rPr>
          <w:rFonts w:ascii="Times New Roman;serif" w:hAnsi="Times New Roman;serif"/>
          <w:b w:val="false"/>
          <w:color w:val="000000"/>
          <w:sz w:val="22"/>
        </w:rPr>
        <w:t>) through (</w:t>
      </w:r>
      <w:r>
        <w:rPr>
          <w:rFonts w:ascii="Times New Roman;serif" w:hAnsi="Times New Roman;serif"/>
          <w:b w:val="false"/>
          <w:color w:val="000000"/>
          <w:sz w:val="22"/>
          <w:u w:val="single"/>
        </w:rPr>
        <w:t>i</w:t>
      </w:r>
      <w:r>
        <w:rPr>
          <w:rFonts w:ascii="Times New Roman;serif" w:hAnsi="Times New Roman;serif"/>
          <w:b w:val="false"/>
          <w:color w:val="000000"/>
          <w:sz w:val="22"/>
        </w:rPr>
        <w:t>) of the definition thereof or other obligation payable or performable by another Person (the “</w:t>
      </w:r>
      <w:r>
        <w:rPr>
          <w:rFonts w:ascii="Times New Roman;serif" w:hAnsi="Times New Roman;serif"/>
          <w:b w:val="false"/>
          <w:i/>
          <w:color w:val="000000"/>
          <w:sz w:val="22"/>
          <w:u w:val="single"/>
        </w:rPr>
        <w:t>primary obligor</w:t>
      </w:r>
      <w:r>
        <w:rPr>
          <w:color w:val="000000"/>
        </w:rPr>
        <w:t>”</w:t>
      </w:r>
      <w:r>
        <w:rPr>
          <w:rFonts w:ascii="Times New Roman;serif" w:hAnsi="Times New Roman;serif"/>
          <w:b w:val="false"/>
          <w:color w:val="000000"/>
          <w:sz w:val="22"/>
        </w:rPr>
        <w:t xml:space="preserve">)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of the kind described in </w:t>
      </w:r>
      <w:r>
        <w:rPr>
          <w:rFonts w:ascii="Times New Roman;serif" w:hAnsi="Times New Roman;serif"/>
          <w:b w:val="false"/>
          <w:color w:val="000000"/>
          <w:sz w:val="22"/>
          <w:u w:val="single"/>
        </w:rPr>
        <w:t>clauses (a</w:t>
      </w:r>
      <w:r>
        <w:rPr>
          <w:rFonts w:ascii="Times New Roman;serif" w:hAnsi="Times New Roman;serif"/>
          <w:b w:val="false"/>
          <w:color w:val="000000"/>
          <w:sz w:val="22"/>
        </w:rPr>
        <w:t>) through (</w:t>
      </w:r>
      <w:r>
        <w:rPr>
          <w:rFonts w:ascii="Times New Roman;serif" w:hAnsi="Times New Roman;serif"/>
          <w:b w:val="false"/>
          <w:color w:val="000000"/>
          <w:sz w:val="22"/>
          <w:u w:val="single"/>
        </w:rPr>
        <w:t>i</w:t>
      </w:r>
      <w:r>
        <w:rPr>
          <w:rFonts w:ascii="Times New Roman;serif" w:hAnsi="Times New Roman;serif"/>
          <w:b w:val="false"/>
          <w:color w:val="000000"/>
          <w:sz w:val="22"/>
        </w:rPr>
        <w:t>) of the definition thereof or other obligation of any other Person, whether or not such Indebtedness or other obligation is assumed or expressly undertaken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serif" w:hAnsi="Times New Roman;serif"/>
          <w:b w:val="false"/>
          <w:i/>
          <w:color w:val="000000"/>
          <w:sz w:val="22"/>
          <w:u w:val="single"/>
        </w:rPr>
        <w:t>Guarantee</w:t>
      </w:r>
      <w:r>
        <w:rPr>
          <w:color w:val="000000"/>
        </w:rPr>
        <w:t xml:space="preserve">” </w:t>
      </w:r>
      <w:r>
        <w:rPr>
          <w:rFonts w:ascii="Times New Roman;serif" w:hAnsi="Times New Roman;serif"/>
          <w:b w:val="false"/>
          <w:color w:val="000000"/>
          <w:sz w:val="22"/>
        </w:rPr>
        <w:t>as a verb has a corresponding meaning.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w:t>
      </w:r>
      <w:r>
        <w:rPr>
          <w:rFonts w:ascii="Times New Roman;serif" w:hAnsi="Times New Roman;serif"/>
          <w:b w:val="false"/>
          <w:i/>
          <w:color w:val="000000"/>
          <w:sz w:val="22"/>
          <w:u w:val="single"/>
        </w:rPr>
        <w:t>Guaranteed Cash Management Agreement</w:t>
      </w:r>
      <w:r>
        <w:rPr>
          <w:rFonts w:ascii="Times New Roman;serif" w:hAnsi="Times New Roman;serif"/>
          <w:b w:val="false"/>
          <w:color w:val="000000"/>
          <w:sz w:val="22"/>
        </w:rPr>
        <w:t>" means any Cash Management Agreement between any Loan Party (or any of its Subsidiaries) and any Cash Management Bank.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Guaranteed Obligations</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10.01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Guarantors</w:t>
      </w:r>
      <w:r>
        <w:rPr>
          <w:color w:val="000000"/>
        </w:rPr>
        <w:t xml:space="preserve">” </w:t>
      </w:r>
      <w:r>
        <w:rPr>
          <w:rFonts w:ascii="Times New Roman;serif" w:hAnsi="Times New Roman;serif"/>
          <w:b w:val="false"/>
          <w:color w:val="000000"/>
          <w:sz w:val="22"/>
        </w:rPr>
        <w:t xml:space="preserve">means, collectively, (a) the Company, (b) each Material Domestic Subsidiary as are or may from time to time become parties to this Agreement pursuant to </w:t>
      </w:r>
      <w:r>
        <w:rPr>
          <w:rFonts w:ascii="Times New Roman;serif" w:hAnsi="Times New Roman;serif"/>
          <w:b w:val="false"/>
          <w:color w:val="000000"/>
          <w:sz w:val="22"/>
          <w:u w:val="single"/>
        </w:rPr>
        <w:t>Section 6.13</w:t>
      </w:r>
      <w:r>
        <w:rPr>
          <w:rFonts w:ascii="Times New Roman;serif" w:hAnsi="Times New Roman;serif"/>
          <w:b w:val="false"/>
          <w:color w:val="000000"/>
          <w:sz w:val="22"/>
        </w:rPr>
        <w:t xml:space="preserve">, and (c) with respect to Additional Obligations owing by any Loan Party or any of its Subsidiaries and any Swap Obligation of a Specified Loan Party (determined before giving effect to </w:t>
      </w:r>
      <w:r>
        <w:rPr>
          <w:rFonts w:ascii="Times New Roman;serif" w:hAnsi="Times New Roman;serif"/>
          <w:b w:val="false"/>
          <w:color w:val="000000"/>
          <w:sz w:val="22"/>
          <w:u w:val="single"/>
        </w:rPr>
        <w:t>Sections 10.01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10.11</w:t>
      </w:r>
      <w:r>
        <w:rPr>
          <w:rFonts w:ascii="Times New Roman;serif" w:hAnsi="Times New Roman;serif"/>
          <w:b w:val="false"/>
          <w:color w:val="000000"/>
          <w:sz w:val="22"/>
        </w:rPr>
        <w:t>) under the Guaranty,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Guaranty</w:t>
      </w:r>
      <w:r>
        <w:rPr>
          <w:color w:val="000000"/>
        </w:rPr>
        <w:t xml:space="preserve">” </w:t>
      </w:r>
      <w:r>
        <w:rPr>
          <w:rFonts w:ascii="Times New Roman;serif" w:hAnsi="Times New Roman;serif"/>
          <w:b w:val="false"/>
          <w:color w:val="000000"/>
          <w:sz w:val="22"/>
        </w:rPr>
        <w:t xml:space="preserve">means, collectively, the Guarantee made by the Guarantors under </w:t>
      </w:r>
      <w:r>
        <w:rPr>
          <w:rFonts w:ascii="Times New Roman;serif" w:hAnsi="Times New Roman;serif"/>
          <w:b w:val="false"/>
          <w:color w:val="000000"/>
          <w:sz w:val="22"/>
          <w:u w:val="single"/>
        </w:rPr>
        <w:t>Article X</w:t>
      </w:r>
      <w:r>
        <w:rPr>
          <w:color w:val="000000"/>
        </w:rPr>
        <w:t xml:space="preserve"> </w:t>
      </w:r>
      <w:r>
        <w:rPr>
          <w:rFonts w:ascii="Times New Roman;serif" w:hAnsi="Times New Roman;serif"/>
          <w:b w:val="false"/>
          <w:color w:val="000000"/>
          <w:sz w:val="22"/>
        </w:rPr>
        <w:t xml:space="preserve">in favor of the Lender Parties, together with each other guaranty delivered pursuant to </w:t>
      </w:r>
      <w:r>
        <w:rPr>
          <w:rFonts w:ascii="Times New Roman;serif" w:hAnsi="Times New Roman;serif"/>
          <w:b w:val="false"/>
          <w:color w:val="000000"/>
          <w:sz w:val="22"/>
          <w:u w:val="single"/>
        </w:rPr>
        <w:t>Section 6.13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Hazardous Materials</w:t>
      </w:r>
      <w:r>
        <w:rPr>
          <w:color w:val="000000"/>
        </w:rPr>
        <w:t xml:space="preserve">” </w:t>
      </w:r>
      <w:r>
        <w:rPr>
          <w:rFonts w:ascii="Times New Roman;serif" w:hAnsi="Times New Roman;serif"/>
          <w:b w:val="false"/>
          <w:color w:val="000000"/>
          <w:sz w:val="22"/>
        </w:rPr>
        <w:t>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any Environmental Law.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Increase Joinder</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2.19(b)</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85445"/>
                <wp:effectExtent l="0" t="0" r="0" b="0"/>
                <wp:wrapNone/>
                <wp:docPr id="58" name="Frame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Incremental Commitments</w:t>
      </w:r>
      <w:r>
        <w:rPr>
          <w:color w:val="000000"/>
        </w:rPr>
        <w:t xml:space="preserve">” </w:t>
      </w:r>
      <w:r>
        <w:rPr>
          <w:rFonts w:ascii="Times New Roman;serif" w:hAnsi="Times New Roman;serif"/>
          <w:b w:val="false"/>
          <w:color w:val="000000"/>
          <w:sz w:val="22"/>
        </w:rPr>
        <w:t>means Incremental Revolving Commitments and/or the Incremental Term Commitments.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Incremental Facility</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2.19</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Incremental Revolving Commitment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2.19</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Incremental Term Commitment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2.19</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Incremental Term Loans</w:t>
      </w:r>
      <w:r>
        <w:rPr>
          <w:color w:val="000000"/>
        </w:rPr>
        <w:t xml:space="preserve">” </w:t>
      </w:r>
      <w:r>
        <w:rPr>
          <w:rFonts w:ascii="Times New Roman;serif" w:hAnsi="Times New Roman;serif"/>
          <w:b w:val="false"/>
          <w:color w:val="000000"/>
          <w:sz w:val="22"/>
        </w:rPr>
        <w:t>means any loans made pursuant to any Incremental Term Commitments.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IFRS</w:t>
      </w:r>
      <w:r>
        <w:rPr>
          <w:color w:val="000000"/>
        </w:rPr>
        <w:t xml:space="preserve">” </w:t>
      </w:r>
      <w:r>
        <w:rPr>
          <w:rFonts w:ascii="Times New Roman;serif" w:hAnsi="Times New Roman;serif"/>
          <w:b w:val="false"/>
          <w:color w:val="000000"/>
          <w:sz w:val="22"/>
        </w:rPr>
        <w:t>means international accounting standards within the meaning of IAS Regulation 1606/2002 to the extent applicable to the relevant financial statements delivered under or referred to herein.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Immaterial Subsidiary</w:t>
      </w:r>
      <w:r>
        <w:rPr>
          <w:color w:val="000000"/>
        </w:rPr>
        <w:t xml:space="preserve">” </w:t>
      </w:r>
      <w:r>
        <w:rPr>
          <w:rFonts w:ascii="Times New Roman;serif" w:hAnsi="Times New Roman;serif"/>
          <w:b w:val="false"/>
          <w:color w:val="000000"/>
          <w:sz w:val="22"/>
        </w:rPr>
        <w:t>means any Subsidiary designated as such by the Company by notice to the Administrative Agent; provided that all Immaterial Subsidiaries may not, at any date, together with their respective subsidiaries, account for more than 5% of the total assets determined on a consolidated basis in accordance with GAAP, 5% of the Consolidated EBITDA or 5% of the consolidated revenues, in each case of the Company and its Subsidiaries on a consolidated basis, for the period of four consecutive fiscal quarters immediately preceding such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Indebtedness</w:t>
      </w:r>
      <w:r>
        <w:rPr>
          <w:color w:val="000000"/>
        </w:rPr>
        <w:t xml:space="preserve">” </w:t>
      </w:r>
      <w:r>
        <w:rPr>
          <w:rFonts w:ascii="Times New Roman;serif" w:hAnsi="Times New Roman;serif"/>
          <w:b w:val="false"/>
          <w:color w:val="000000"/>
          <w:sz w:val="22"/>
        </w:rPr>
        <w:t>means, as to any Person at a particular time, without duplication, all of the following, whether or not included as indebtedness or liabilities in accordance with GAAP:</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all obligations of such Person for borrowed money and all obligations of such Person evidenced by bonds, debentures, notes, loan agreements or other similar instruments;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all direct or contingent obligations of such Person arising under letters of credit (including standby and commercial), bankers’ acceptances, bank guaranties, surety bonds and similar instruments;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net obligations of such Person under any Swap Contract;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    all obligations of such Person to pay the deferred purchase price of property or services (other than (i) trade accounts and accrued expenses payable in the ordinary course of business, (ii) any deferred purchase price payment obligations, purchase price adjustments, contingent consideration payments, earn-out, deferred compensation and similar obligations arising under any document pertaining to a merger, acquisition, Disposition or similar transaction, or to any hiring of any employee or consultant until such obligation is not paid after becoming due and payable, and (iii) accruals for payroll and other liabilities accrued in the ordinary course of business);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85445"/>
                <wp:effectExtent l="0" t="0" r="0" b="0"/>
                <wp:wrapNone/>
                <wp:docPr id="59" name="Frame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all Attributable Indebtedness in respect of Capitalized Leases and Synthetic Lease Obligations of such Person and all Synthetic Debt of such Person;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all obligations of such Person to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plus accrued and unpaid dividends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    the aggregate amount of mandatory payment obligations of such Person in respect of Disqualified Equity Interests (in each case other than obligations payable in Qualified Equity Interests), in each case payable prior to 180 days after the Maturity Date of the Loans;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all reimbursement obligations with respect to outstanding letters of credit (to the extent drawn),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    all obligations of any Person of the kind described in the foregoing clauses (a) through (i)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(k)    all Guarantees of such Person in respect of any of the foregoing.</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Indemnified Taxes</w:t>
      </w:r>
      <w:r>
        <w:rPr>
          <w:color w:val="000000"/>
        </w:rPr>
        <w:t xml:space="preserve">” </w:t>
      </w:r>
      <w:r>
        <w:rPr>
          <w:rFonts w:ascii="Times New Roman;serif" w:hAnsi="Times New Roman;serif"/>
          <w:b w:val="false"/>
          <w:color w:val="000000"/>
          <w:sz w:val="22"/>
        </w:rPr>
        <w:t xml:space="preserve">means all (a) Taxes, other than Excluded Taxes, imposed on or with respect to any payment made by or on account of any obligation of any Loan Party under any Loan Document and (b) to the extent not otherwise described in </w:t>
      </w:r>
      <w:r>
        <w:rPr>
          <w:rFonts w:ascii="Times New Roman;serif" w:hAnsi="Times New Roman;serif"/>
          <w:b w:val="false"/>
          <w:color w:val="000000"/>
          <w:sz w:val="22"/>
          <w:u w:val="single"/>
        </w:rPr>
        <w:t>clause (a</w:t>
      </w:r>
      <w:r>
        <w:rPr>
          <w:rFonts w:ascii="Times New Roman;serif" w:hAnsi="Times New Roman;serif"/>
          <w:b w:val="false"/>
          <w:color w:val="000000"/>
          <w:sz w:val="22"/>
        </w:rPr>
        <w:t>), Other Taxes.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Indemnitee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11.04(b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Information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11.07(a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Interest Payment Date</w:t>
      </w:r>
      <w:r>
        <w:rPr>
          <w:color w:val="000000"/>
        </w:rPr>
        <w:t xml:space="preserve">” </w:t>
      </w:r>
      <w:r>
        <w:rPr>
          <w:rFonts w:ascii="Times New Roman;serif" w:hAnsi="Times New Roman;serif"/>
          <w:b w:val="false"/>
          <w:color w:val="000000"/>
          <w:sz w:val="22"/>
        </w:rPr>
        <w:t xml:space="preserve">means, (a) as to any Term SOFR Loan, the last day of each Interest Period applicable to such Loan and the Maturity Date;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if any Interest Period for a Term SOFR Loan exceeds three (3) months, the respective dates that fall every three (3) months after the beginning of such Interest Period shall also be Interest Payment Dates, (b) as to any Base Rate Loan (including a Swingline Loan) or any Daily SOFR Loan, the last Business Day of each March, June, September and December and the Maturity Date, (c) as to any Alternative Currency Daily Rate Loan, the last Business Day of each March, June, September and December and the Maturity Date and (d) as to any Alternative Currency Term Rate Loan, the last day of each Interest Period applicable to such Loan and the Maturity Date;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any Interest Period for an Alternative Currency Term Rate Loan exceeds three months, the respective dates that fall every three months after the beginning of such Interest Period shall be Interest Payment Dates.</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85445"/>
                <wp:effectExtent l="0" t="0" r="0" b="0"/>
                <wp:wrapNone/>
                <wp:docPr id="60" name="Frame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Interest Period</w:t>
      </w:r>
      <w:r>
        <w:rPr>
          <w:color w:val="000000"/>
        </w:rPr>
        <w:t xml:space="preserve">” </w:t>
      </w:r>
      <w:r>
        <w:rPr>
          <w:rFonts w:ascii="Times New Roman;serif" w:hAnsi="Times New Roman;serif"/>
          <w:b w:val="false"/>
          <w:color w:val="000000"/>
          <w:sz w:val="22"/>
        </w:rPr>
        <w:t xml:space="preserve">means as to each Term SOFR Loan or Alternative Currency Term Rate Loan, the period commencing on the date such Term SOFR Loan or Alternative Currency Term Rate Loan is disbursed or converted to or continued as a Term SOFR Loan or an Alternative Currency Term Rate Loan and ending on the date one or three months thereafter (in each case, subject to availability for the interest rate applicable to the relevant currency), as selected by the applicable Borrower in its Loan Notice;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no Interest Period shall extend beyond the Maturity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Investment</w:t>
      </w:r>
      <w:r>
        <w:rPr>
          <w:color w:val="000000"/>
        </w:rPr>
        <w:t xml:space="preserve">” </w:t>
      </w:r>
      <w:r>
        <w:rPr>
          <w:rFonts w:ascii="Times New Roman;serif" w:hAnsi="Times New Roman;serif"/>
          <w:b w:val="false"/>
          <w:color w:val="000000"/>
          <w:sz w:val="22"/>
        </w:rPr>
        <w:t>means, as to any Person, any direct or indirect acquisition or investment by such Person, whether by means of (a) the purchase or other acquisition of Equity Interests or debt or other securities of another Person, (b) an advance or loan (including any advance or loan made to an employee, expert or consultant that is subject to discounting and amortization in the ordinary course of such Person’s business)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guaranties Indebtedness of such other Person), or (c) the purchase or other acquisition (in one transaction or a series of transactions) of assets of another Person which constitute all or substantially all of the assets of such Person or of a division, line of business or other business unit of such Person. For purposes of covenant compliance, the amount of any Investment shall be the amount actually invested, without adjustment for subsequent increases or decreases in the value of such Investment.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Investment Policy</w:t>
      </w:r>
      <w:r>
        <w:rPr>
          <w:color w:val="000000"/>
        </w:rPr>
        <w:t xml:space="preserve">” </w:t>
      </w:r>
      <w:r>
        <w:rPr>
          <w:rFonts w:ascii="Times New Roman;serif" w:hAnsi="Times New Roman;serif"/>
          <w:b w:val="false"/>
          <w:color w:val="000000"/>
          <w:sz w:val="22"/>
        </w:rPr>
        <w:t xml:space="preserve">means the Company’s “Investment Policy” as approved or revised by the board of directors (or the audit committee thereof) of the Company from time to time (a copy of which Investment Policy as in effect on the date hereof has been delivered to the Administrative Agent prior to the date hereof, and the Company covenants to notify the Administrative Agent of any such revision before such revision by the Company’s board of directors (or the audit committee thereof).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IRS</w:t>
      </w:r>
      <w:r>
        <w:rPr>
          <w:color w:val="000000"/>
        </w:rPr>
        <w:t xml:space="preserve">” </w:t>
      </w:r>
      <w:r>
        <w:rPr>
          <w:rFonts w:ascii="Times New Roman;serif" w:hAnsi="Times New Roman;serif"/>
          <w:b w:val="false"/>
          <w:color w:val="000000"/>
          <w:sz w:val="22"/>
        </w:rPr>
        <w:t>means the United States Internal Revenue Service.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ISP</w:t>
      </w:r>
      <w:r>
        <w:rPr>
          <w:color w:val="000000"/>
        </w:rPr>
        <w:t xml:space="preserve">” </w:t>
      </w:r>
      <w:r>
        <w:rPr>
          <w:rFonts w:ascii="Times New Roman;serif" w:hAnsi="Times New Roman;serif"/>
          <w:b w:val="false"/>
          <w:color w:val="000000"/>
          <w:sz w:val="22"/>
        </w:rPr>
        <w:t>means the International Standby Practices, International Chamber of Commerce Publication No. 590 (or such later version thereof as may be in effect at the applicable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Issuer Documents</w:t>
      </w:r>
      <w:r>
        <w:rPr>
          <w:color w:val="000000"/>
        </w:rPr>
        <w:t xml:space="preserve">” </w:t>
      </w:r>
      <w:r>
        <w:rPr>
          <w:rFonts w:ascii="Times New Roman;serif" w:hAnsi="Times New Roman;serif"/>
          <w:b w:val="false"/>
          <w:color w:val="000000"/>
          <w:sz w:val="22"/>
        </w:rPr>
        <w:t>means with respect to any Letter of Credit, the Letter of Credit Application, and any other document, agreement and instrument entered into by any L/C Issuer and any Borrower (or any Subsidiary) or in favor of such L/C Issuer and relating to such Letter of Credit.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Joinder Agreement</w:t>
      </w:r>
      <w:r>
        <w:rPr>
          <w:color w:val="000000"/>
        </w:rPr>
        <w:t xml:space="preserve">” </w:t>
      </w:r>
      <w:r>
        <w:rPr>
          <w:rFonts w:ascii="Times New Roman;serif" w:hAnsi="Times New Roman;serif"/>
          <w:b w:val="false"/>
          <w:color w:val="000000"/>
          <w:sz w:val="22"/>
        </w:rPr>
        <w:t xml:space="preserve">means a joinder agreement substantially in the form of </w:t>
      </w:r>
      <w:r>
        <w:rPr>
          <w:rFonts w:ascii="Times New Roman;serif" w:hAnsi="Times New Roman;serif"/>
          <w:b w:val="false"/>
          <w:color w:val="000000"/>
          <w:sz w:val="22"/>
          <w:u w:val="single"/>
        </w:rPr>
        <w:t>Exhibit D</w:t>
      </w:r>
      <w:r>
        <w:rPr>
          <w:color w:val="000000"/>
        </w:rPr>
        <w:t xml:space="preserve"> </w:t>
      </w:r>
      <w:r>
        <w:rPr>
          <w:rFonts w:ascii="Times New Roman;serif" w:hAnsi="Times New Roman;serif"/>
          <w:b w:val="false"/>
          <w:color w:val="000000"/>
          <w:sz w:val="22"/>
        </w:rPr>
        <w:t xml:space="preserve">executed and delivered in accordance with the provisions of </w:t>
      </w:r>
      <w:r>
        <w:rPr>
          <w:rFonts w:ascii="Times New Roman;serif" w:hAnsi="Times New Roman;serif"/>
          <w:b w:val="false"/>
          <w:color w:val="000000"/>
          <w:sz w:val="22"/>
          <w:u w:val="single"/>
        </w:rPr>
        <w:t>Section 6.13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Judgment Currency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11.22</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85445"/>
                <wp:effectExtent l="0" t="0" r="0" b="0"/>
                <wp:wrapNone/>
                <wp:docPr id="61" name="Frame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Laws</w:t>
      </w:r>
      <w:r>
        <w:rPr>
          <w:color w:val="000000"/>
        </w:rPr>
        <w:t xml:space="preserve">” </w:t>
      </w:r>
      <w:r>
        <w:rPr>
          <w:rFonts w:ascii="Times New Roman;serif" w:hAnsi="Times New Roman;serif"/>
          <w:b w:val="false"/>
          <w:color w:val="000000"/>
          <w:sz w:val="22"/>
        </w:rPr>
        <w:t>means, collectively, all international, foreign, federal, state, provincial, territorial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L</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C Advance</w:t>
      </w:r>
      <w:r>
        <w:rPr>
          <w:color w:val="000000"/>
        </w:rPr>
        <w:t xml:space="preserve">” </w:t>
      </w:r>
      <w:r>
        <w:rPr>
          <w:rFonts w:ascii="Times New Roman;serif" w:hAnsi="Times New Roman;serif"/>
          <w:b w:val="false"/>
          <w:color w:val="000000"/>
          <w:sz w:val="22"/>
        </w:rPr>
        <w:t>means, with respect to each Revolving Lender, such Lender’s funding of its participation in any L/C Borrowing in accordance with its Applicable Revolving Percentage. All L/C Advances shall be denominated in Dollars.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L</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C Borrowing</w:t>
      </w:r>
      <w:r>
        <w:rPr>
          <w:color w:val="000000"/>
        </w:rPr>
        <w:t xml:space="preserve">” </w:t>
      </w:r>
      <w:r>
        <w:rPr>
          <w:rFonts w:ascii="Times New Roman;serif" w:hAnsi="Times New Roman;serif"/>
          <w:b w:val="false"/>
          <w:color w:val="000000"/>
          <w:sz w:val="22"/>
        </w:rPr>
        <w:t>means an extension of credit resulting from a drawing under any Letter of Credit which has not been reimbursed on the date when made or refinanced as a Revolving Borrowing. All L/C Borrowings shall be denominated in Dollars.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L</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C Commitment</w:t>
      </w:r>
      <w:r>
        <w:rPr>
          <w:color w:val="000000"/>
        </w:rPr>
        <w:t xml:space="preserve">” </w:t>
      </w:r>
      <w:r>
        <w:rPr>
          <w:rFonts w:ascii="Times New Roman;serif" w:hAnsi="Times New Roman;serif"/>
          <w:b w:val="false"/>
          <w:color w:val="000000"/>
          <w:sz w:val="22"/>
        </w:rPr>
        <w:t xml:space="preserve">means, with respect to each L/C Issuer, the commitment of such L/C Issuer to issue Letters of Credit hereunder. The initial amount of each L/C Issuer’s Letter of Credit Commitment is set forth on </w:t>
      </w:r>
      <w:r>
        <w:rPr>
          <w:rFonts w:ascii="Times New Roman;serif" w:hAnsi="Times New Roman;serif"/>
          <w:b w:val="false"/>
          <w:color w:val="000000"/>
          <w:sz w:val="22"/>
          <w:u w:val="single"/>
        </w:rPr>
        <w:t>Schedule 2.03</w:t>
      </w:r>
      <w:r>
        <w:rPr>
          <w:color w:val="000000"/>
        </w:rPr>
        <w:t xml:space="preserve"> </w:t>
      </w:r>
      <w:r>
        <w:rPr>
          <w:rFonts w:ascii="Times New Roman;serif" w:hAnsi="Times New Roman;serif"/>
          <w:b w:val="false"/>
          <w:color w:val="000000"/>
          <w:sz w:val="22"/>
        </w:rPr>
        <w:t>. The Letter of Credit Commitment of an L/C Issuer may be modified from time to time by agreement between such L/C Issuer and the Company, and notified to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L/C Disbursement</w:t>
      </w:r>
      <w:r>
        <w:rPr>
          <w:color w:val="000000"/>
        </w:rPr>
        <w:t xml:space="preserve">” </w:t>
      </w:r>
      <w:r>
        <w:rPr>
          <w:rFonts w:ascii="Times New Roman;serif" w:hAnsi="Times New Roman;serif"/>
          <w:b w:val="false"/>
          <w:color w:val="000000"/>
          <w:sz w:val="22"/>
        </w:rPr>
        <w:t xml:space="preserve">means a payment made by an L/C Issuer pursuant to a Letter of Credit.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L</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C Credit Extension</w:t>
      </w:r>
      <w:r>
        <w:rPr>
          <w:color w:val="000000"/>
        </w:rPr>
        <w:t xml:space="preserve">” </w:t>
      </w:r>
      <w:r>
        <w:rPr>
          <w:rFonts w:ascii="Times New Roman;serif" w:hAnsi="Times New Roman;serif"/>
          <w:b w:val="false"/>
          <w:color w:val="000000"/>
          <w:sz w:val="22"/>
        </w:rPr>
        <w:t>means, with respect to any Letter of Credit, the issuance thereof or extension of the expiry date thereof, or the increase of the amount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L</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C Issuer</w:t>
      </w:r>
      <w:r>
        <w:rPr>
          <w:color w:val="000000"/>
        </w:rPr>
        <w:t xml:space="preserve">” </w:t>
      </w:r>
      <w:r>
        <w:rPr>
          <w:rFonts w:ascii="Times New Roman;serif" w:hAnsi="Times New Roman;serif"/>
          <w:b w:val="false"/>
          <w:color w:val="000000"/>
          <w:sz w:val="22"/>
        </w:rPr>
        <w:t xml:space="preserve">means with respect to a particular Letter of Credit, (a)(i) Bank of America (through itself or through one of its designated Affiliates or branch offices), in its capacity as issuer of Letters of Credit hereunder, or any successor issuer thereof and (ii) Citizens Bank, N.A. (through itself or through one of its designated Affiliates or branch offices) with respect to each Existing Letter of Credit through the respective current maturity of such Existing Letter of Credit, (b) such other Lender selected by the Company pursuant to </w:t>
      </w:r>
      <w:r>
        <w:rPr>
          <w:rFonts w:ascii="Times New Roman;serif" w:hAnsi="Times New Roman;serif"/>
          <w:b w:val="false"/>
          <w:color w:val="000000"/>
          <w:sz w:val="22"/>
          <w:u w:val="single"/>
        </w:rPr>
        <w:t>Section 2.03(s</w:t>
      </w:r>
      <w:r>
        <w:rPr>
          <w:rFonts w:ascii="Times New Roman;serif" w:hAnsi="Times New Roman;serif"/>
          <w:b w:val="false"/>
          <w:color w:val="000000"/>
          <w:sz w:val="22"/>
        </w:rPr>
        <w:t>) from time to time to issue such Letter of Credit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no Lender shall be required to become an L/C Issuer pursuant to this </w:t>
      </w:r>
      <w:r>
        <w:rPr>
          <w:rFonts w:ascii="Times New Roman;serif" w:hAnsi="Times New Roman;serif"/>
          <w:b w:val="false"/>
          <w:color w:val="000000"/>
          <w:sz w:val="22"/>
          <w:u w:val="single"/>
        </w:rPr>
        <w:t>clause (b</w:t>
      </w:r>
      <w:r>
        <w:rPr>
          <w:rFonts w:ascii="Times New Roman;serif" w:hAnsi="Times New Roman;serif"/>
          <w:b w:val="false"/>
          <w:color w:val="000000"/>
          <w:sz w:val="22"/>
        </w:rPr>
        <w:t>) without such Lender’s consent), or any successor issuer thereof or (c) any Lender selected by the Company (with the prior consent of the Administrative Agent) to replace a Lender who is a Defaulting Lender at the time of such Lender’s appointment as an L/C Issuer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no Lender shall be required to become an L/C Issuer pursuant to this </w:t>
      </w:r>
      <w:r>
        <w:rPr>
          <w:rFonts w:ascii="Times New Roman;serif" w:hAnsi="Times New Roman;serif"/>
          <w:b w:val="false"/>
          <w:color w:val="000000"/>
          <w:sz w:val="22"/>
          <w:u w:val="single"/>
        </w:rPr>
        <w:t>clause (c</w:t>
      </w:r>
      <w:r>
        <w:rPr>
          <w:rFonts w:ascii="Times New Roman;serif" w:hAnsi="Times New Roman;serif"/>
          <w:b w:val="false"/>
          <w:color w:val="000000"/>
          <w:sz w:val="22"/>
        </w:rPr>
        <w:t>) without such Lender’s consent), or any successor issuer thereof. Bank of America, N.A. shall be the sole L/C Issuer permitted hereunder to issue Letters of Credit denominated in Alternative Currency.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L</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C Obligations</w:t>
      </w:r>
      <w:r>
        <w:rPr>
          <w:color w:val="000000"/>
        </w:rPr>
        <w:t xml:space="preserve">” </w:t>
      </w:r>
      <w:r>
        <w:rPr>
          <w:rFonts w:ascii="Times New Roman;serif" w:hAnsi="Times New Roman;serif"/>
          <w:b w:val="false"/>
          <w:color w:val="000000"/>
          <w:sz w:val="22"/>
        </w:rPr>
        <w:t xml:space="preserve">means,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w:t>
      </w:r>
      <w:r>
        <w:rPr>
          <w:rFonts w:ascii="Times New Roman;serif" w:hAnsi="Times New Roman;serif"/>
          <w:b w:val="false"/>
          <w:color w:val="000000"/>
          <w:sz w:val="22"/>
          <w:u w:val="single"/>
        </w:rPr>
        <w:t>Section 1.06</w:t>
      </w:r>
      <w:r>
        <w:rPr>
          <w:rFonts w:ascii="Times New Roman;serif" w:hAnsi="Times New Roman;serif"/>
          <w:b w:val="false"/>
          <w:color w:val="000000"/>
          <w:sz w:val="22"/>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LCT Election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1.07</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85445"/>
                <wp:effectExtent l="0" t="0" r="0" b="0"/>
                <wp:wrapNone/>
                <wp:docPr id="62" name="Frame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LCT Test Date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Lender</w:t>
      </w:r>
      <w:r>
        <w:rPr>
          <w:color w:val="000000"/>
        </w:rPr>
        <w:t xml:space="preserve">” </w:t>
      </w:r>
      <w:r>
        <w:rPr>
          <w:rFonts w:ascii="Times New Roman;serif" w:hAnsi="Times New Roman;serif"/>
          <w:b w:val="false"/>
          <w:color w:val="000000"/>
          <w:sz w:val="22"/>
        </w:rPr>
        <w:t>means each of the Persons identified as a “Lender” on the signature pages hereto (each such Person being an “</w:t>
      </w:r>
      <w:r>
        <w:rPr>
          <w:rFonts w:ascii="Times New Roman;serif" w:hAnsi="Times New Roman;serif"/>
          <w:b w:val="false"/>
          <w:i/>
          <w:color w:val="000000"/>
          <w:sz w:val="22"/>
          <w:u w:val="single"/>
        </w:rPr>
        <w:t>Original Lender</w:t>
      </w:r>
      <w:r>
        <w:rPr>
          <w:color w:val="000000"/>
        </w:rPr>
        <w:t>”</w:t>
      </w:r>
      <w:r>
        <w:rPr>
          <w:rFonts w:ascii="Times New Roman;serif" w:hAnsi="Times New Roman;serif"/>
          <w:b w:val="false"/>
          <w:color w:val="000000"/>
          <w:sz w:val="22"/>
        </w:rPr>
        <w:t>), each other Person that becomes a “Lender” in accordance with this Agreement and, their successors and assigns and, unless the context requires otherwise, includes the Swingline Lender. The term “Lender” shall include any Designated Lender who has funded any Credit Extension.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Lender Parties</w:t>
      </w:r>
      <w:r>
        <w:rPr>
          <w:color w:val="000000"/>
        </w:rPr>
        <w:t xml:space="preserve">” </w:t>
      </w:r>
      <w:r>
        <w:rPr>
          <w:rFonts w:ascii="Times New Roman;serif" w:hAnsi="Times New Roman;serif"/>
          <w:b w:val="false"/>
          <w:color w:val="000000"/>
          <w:sz w:val="22"/>
        </w:rPr>
        <w:t>and “</w:t>
      </w:r>
      <w:r>
        <w:rPr>
          <w:rFonts w:ascii="Times New Roman;serif" w:hAnsi="Times New Roman;serif"/>
          <w:b w:val="false"/>
          <w:i/>
          <w:color w:val="000000"/>
          <w:sz w:val="22"/>
          <w:u w:val="single"/>
        </w:rPr>
        <w:t>Lender Recipient Parties</w:t>
      </w:r>
      <w:r>
        <w:rPr>
          <w:color w:val="000000"/>
        </w:rPr>
        <w:t xml:space="preserve">” </w:t>
      </w:r>
      <w:r>
        <w:rPr>
          <w:rFonts w:ascii="Times New Roman;serif" w:hAnsi="Times New Roman;serif"/>
          <w:b w:val="false"/>
          <w:color w:val="000000"/>
          <w:sz w:val="22"/>
        </w:rPr>
        <w:t xml:space="preserve">mean, collectively, the Lenders, the Swingline Lenders, the L/C Issuers, the Cash Management Banks, the Indemnitees and each co-agent or sub-agent appointed by the Administrative Agent from time to time pursuant to </w:t>
      </w:r>
      <w:r>
        <w:rPr>
          <w:rFonts w:ascii="Times New Roman;serif" w:hAnsi="Times New Roman;serif"/>
          <w:b w:val="false"/>
          <w:color w:val="000000"/>
          <w:sz w:val="22"/>
          <w:u w:val="single"/>
        </w:rPr>
        <w:t>Section 9.05</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w:t>
      </w:r>
      <w:r>
        <w:rPr>
          <w:rFonts w:ascii="Times New Roman;serif" w:hAnsi="Times New Roman;serif"/>
          <w:b w:val="false"/>
          <w:i/>
          <w:color w:val="000000"/>
          <w:sz w:val="22"/>
          <w:u w:val="single"/>
        </w:rPr>
        <w:t>Lender Party Designation Notice</w:t>
      </w:r>
      <w:r>
        <w:rPr>
          <w:rFonts w:ascii="Times New Roman;serif" w:hAnsi="Times New Roman;serif"/>
          <w:b w:val="false"/>
          <w:color w:val="000000"/>
          <w:sz w:val="22"/>
        </w:rPr>
        <w:t xml:space="preserve">" means a notice from any Lender or an Affiliate of a Lender that such party meets the requirements of a Cash Management Bank under the terms of this Agreement substantially in the form of </w:t>
      </w:r>
      <w:r>
        <w:rPr>
          <w:rFonts w:ascii="Times New Roman;serif" w:hAnsi="Times New Roman;serif"/>
          <w:b w:val="false"/>
          <w:color w:val="000000"/>
          <w:sz w:val="22"/>
          <w:u w:val="single"/>
        </w:rPr>
        <w:t>Exhibit Q</w:t>
      </w:r>
      <w:r>
        <w:rPr>
          <w:color w:val="000000"/>
        </w:rPr>
        <w:t xml:space="preserve"> </w:t>
      </w:r>
      <w:r>
        <w:rPr>
          <w:rFonts w:ascii="Times New Roman;serif" w:hAnsi="Times New Roman;serif"/>
          <w:b w:val="false"/>
          <w:color w:val="000000"/>
          <w:sz w:val="22"/>
        </w:rPr>
        <w:t>or any other form approved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Lending Office</w:t>
      </w:r>
      <w:r>
        <w:rPr>
          <w:color w:val="000000"/>
        </w:rPr>
        <w:t xml:space="preserve">” </w:t>
      </w:r>
      <w:r>
        <w:rPr>
          <w:rFonts w:ascii="Times New Roman;serif" w:hAnsi="Times New Roman;serif"/>
          <w:b w:val="false"/>
          <w:color w:val="000000"/>
          <w:sz w:val="22"/>
        </w:rPr>
        <w:t>means, as to the Administrative Agent, any L/C Issuer or any Lender, the office or offices of such Person described as such in such Person’s Administrative Questionnaire, or such other office or offices as such Person may from time to time notify the Company and the Administrative Agent; which office may include any Affiliate of such Person or any domestic or foreign branch of such Person or such Affiliate. Unless the context otherwise requires each reference to a Lender shall include its applicable Lending Office.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Letter of Credit</w:t>
      </w:r>
      <w:r>
        <w:rPr>
          <w:color w:val="000000"/>
        </w:rPr>
        <w:t xml:space="preserve">” </w:t>
      </w:r>
      <w:r>
        <w:rPr>
          <w:rFonts w:ascii="Times New Roman;serif" w:hAnsi="Times New Roman;serif"/>
          <w:b w:val="false"/>
          <w:color w:val="000000"/>
          <w:sz w:val="22"/>
        </w:rPr>
        <w:t>means any letter of credit issued hereunder and shall include the Existing Letters of Credit. Letters of Credit may be issued in Dollars or in an Alternative Currency.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Letter of Credit Application</w:t>
      </w:r>
      <w:r>
        <w:rPr>
          <w:color w:val="000000"/>
        </w:rPr>
        <w:t xml:space="preserve">” </w:t>
      </w:r>
      <w:r>
        <w:rPr>
          <w:rFonts w:ascii="Times New Roman;serif" w:hAnsi="Times New Roman;serif"/>
          <w:b w:val="false"/>
          <w:color w:val="000000"/>
          <w:sz w:val="22"/>
        </w:rPr>
        <w:t>means an application and agreement for the issuance or amendment of a Letter of Credit in the form from time to time in use by the applicable L/C Issuer.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Letter of Credit Fee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2.03(m)</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Letter of Credit Report</w:t>
      </w:r>
      <w:r>
        <w:rPr>
          <w:color w:val="000000"/>
        </w:rPr>
        <w:t xml:space="preserve">” </w:t>
      </w:r>
      <w:r>
        <w:rPr>
          <w:rFonts w:ascii="Times New Roman;serif" w:hAnsi="Times New Roman;serif"/>
          <w:b w:val="false"/>
          <w:color w:val="000000"/>
          <w:sz w:val="22"/>
        </w:rPr>
        <w:t xml:space="preserve">means a certificate substantially in the form of </w:t>
      </w:r>
      <w:r>
        <w:rPr>
          <w:rFonts w:ascii="Times New Roman;serif" w:hAnsi="Times New Roman;serif"/>
          <w:b w:val="false"/>
          <w:color w:val="000000"/>
          <w:sz w:val="22"/>
          <w:u w:val="single"/>
        </w:rPr>
        <w:t>Exhibit P</w:t>
      </w:r>
      <w:r>
        <w:rPr>
          <w:color w:val="000000"/>
        </w:rPr>
        <w:t xml:space="preserve"> </w:t>
      </w:r>
      <w:r>
        <w:rPr>
          <w:rFonts w:ascii="Times New Roman;serif" w:hAnsi="Times New Roman;serif"/>
          <w:b w:val="false"/>
          <w:color w:val="000000"/>
          <w:sz w:val="22"/>
        </w:rPr>
        <w:t>or any other form approved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Letter of Credit Sublimit</w:t>
      </w:r>
      <w:r>
        <w:rPr>
          <w:color w:val="000000"/>
        </w:rPr>
        <w:t xml:space="preserve">” </w:t>
      </w:r>
      <w:r>
        <w:rPr>
          <w:rFonts w:ascii="Times New Roman;serif" w:hAnsi="Times New Roman;serif"/>
          <w:b w:val="false"/>
          <w:color w:val="000000"/>
          <w:sz w:val="22"/>
        </w:rPr>
        <w:t xml:space="preserve">means, as of any date of determination, an amount equal to the lesser of (a) $50,000,000 and (b) the Revolving Facility;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that each L/C Issuer’s Letter of Credit Sublimit shall not exceed its L/C Commitment. The Letter of Credit Sublimit is part of, and not in addition to, the Revolving Facility.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Lien</w:t>
      </w:r>
      <w:r>
        <w:rPr>
          <w:color w:val="000000"/>
        </w:rPr>
        <w:t xml:space="preserve">” </w:t>
      </w:r>
      <w:r>
        <w:rPr>
          <w:rFonts w:ascii="Times New Roman;serif" w:hAnsi="Times New Roman;serif"/>
          <w:b w:val="false"/>
          <w:color w:val="000000"/>
          <w:sz w:val="22"/>
        </w:rPr>
        <w:t>means any mortgage, pledge, hypothecation, assignment, deposit arrangement, encumbrance, lien (statutory or otherwise), trust, deemed trust (statutory or otherwise),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Limited Condition Acquisition</w:t>
      </w:r>
      <w:r>
        <w:rPr>
          <w:color w:val="000000"/>
        </w:rPr>
        <w:t xml:space="preserve">” </w:t>
      </w:r>
      <w:r>
        <w:rPr>
          <w:rFonts w:ascii="Times New Roman;serif" w:hAnsi="Times New Roman;serif"/>
          <w:b w:val="false"/>
          <w:color w:val="000000"/>
          <w:sz w:val="22"/>
        </w:rPr>
        <w:t>means an Acquisition that is not conditioned on the availability of, or on obtaining, third party financing.</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85445"/>
                <wp:effectExtent l="0" t="0" r="0" b="0"/>
                <wp:wrapNone/>
                <wp:docPr id="63" name="Frame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Limited Condition Transaction</w:t>
      </w:r>
      <w:r>
        <w:rPr>
          <w:color w:val="000000"/>
        </w:rPr>
        <w:t xml:space="preserve">” </w:t>
      </w:r>
      <w:r>
        <w:rPr>
          <w:rFonts w:ascii="Times New Roman;serif" w:hAnsi="Times New Roman;serif"/>
          <w:b w:val="false"/>
          <w:color w:val="000000"/>
          <w:sz w:val="22"/>
        </w:rPr>
        <w:t xml:space="preserve">means (a) any Limited Condition Acquisition or (b) the declaration or public announcement of any Restricted Payment permitted by </w:t>
      </w:r>
      <w:r>
        <w:rPr>
          <w:rFonts w:ascii="Times New Roman;serif" w:hAnsi="Times New Roman;serif"/>
          <w:b w:val="false"/>
          <w:color w:val="000000"/>
          <w:sz w:val="22"/>
          <w:u w:val="single"/>
        </w:rPr>
        <w:t>Section 7.06</w:t>
      </w:r>
      <w:r>
        <w:rPr>
          <w:rFonts w:ascii="Times New Roman;serif" w:hAnsi="Times New Roman;serif"/>
          <w:b w:val="false"/>
          <w:color w:val="000000"/>
          <w:sz w:val="22"/>
        </w:rPr>
        <w:t>; provided, that, such Restricted Payment is made within sixty (60) days of being declared.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Loan</w:t>
      </w:r>
      <w:r>
        <w:rPr>
          <w:color w:val="000000"/>
        </w:rPr>
        <w:t xml:space="preserve">” </w:t>
      </w:r>
      <w:r>
        <w:rPr>
          <w:rFonts w:ascii="Times New Roman;serif" w:hAnsi="Times New Roman;serif"/>
          <w:b w:val="false"/>
          <w:color w:val="000000"/>
          <w:sz w:val="22"/>
        </w:rPr>
        <w:t xml:space="preserve">means an extension of credit by a Lender to any Borrower under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in the form of a Term Loan, a Revolving Loan or a Swingline Loan.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Loan Documents</w:t>
      </w:r>
      <w:r>
        <w:rPr>
          <w:color w:val="000000"/>
        </w:rPr>
        <w:t xml:space="preserve">” </w:t>
      </w:r>
      <w:r>
        <w:rPr>
          <w:rFonts w:ascii="Times New Roman;serif" w:hAnsi="Times New Roman;serif"/>
          <w:b w:val="false"/>
          <w:color w:val="000000"/>
          <w:sz w:val="22"/>
        </w:rPr>
        <w:t xml:space="preserve">means, collectively, (a) this Agreement, (b) the Notes, (c) the Guaranty, (d)  the Fee Letter, (e) each Issuer Document, (f) each Joinder Agreement, (g) any agreement creating or perfecting rights in Cash Collateral pursuant to the provisions of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 xml:space="preserve">and (h) all other certificates, agreements, documents and instruments executed and delivered, in each case, by or on behalf of any Loan Party pursuant to the foregoing (but specifically excluding any Guaranteed Cash Management Agreement) and any amendments, modifications or supplements thereto or to any other Loan Document or waivers hereof or to any other Loan Document;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for purposes of </w:t>
      </w:r>
      <w:r>
        <w:rPr>
          <w:rFonts w:ascii="Times New Roman;serif" w:hAnsi="Times New Roman;serif"/>
          <w:b w:val="false"/>
          <w:color w:val="000000"/>
          <w:sz w:val="22"/>
          <w:u w:val="single"/>
        </w:rPr>
        <w:t>Section 11.01</w:t>
      </w:r>
      <w:r>
        <w:rPr>
          <w:rFonts w:ascii="Times New Roman;serif" w:hAnsi="Times New Roman;serif"/>
          <w:b w:val="false"/>
          <w:color w:val="000000"/>
          <w:sz w:val="22"/>
        </w:rPr>
        <w:t>, “Loan Documents” shall mean this Agreement and the Guaranty.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Loan Notice</w:t>
      </w:r>
      <w:r>
        <w:rPr>
          <w:color w:val="000000"/>
        </w:rPr>
        <w:t xml:space="preserve">” </w:t>
      </w:r>
      <w:r>
        <w:rPr>
          <w:rFonts w:ascii="Times New Roman;serif" w:hAnsi="Times New Roman;serif"/>
          <w:b w:val="false"/>
          <w:color w:val="000000"/>
          <w:sz w:val="22"/>
        </w:rPr>
        <w:t xml:space="preserve">means a notice of (a) a Borrowing, (b) a conversion of Loans from one Type to the other, or (c) a continuation of Term SOFR Loans or Alternative Currency Term Rate Loans, pursuant to </w:t>
      </w:r>
      <w:r>
        <w:rPr>
          <w:rFonts w:ascii="Times New Roman;serif" w:hAnsi="Times New Roman;serif"/>
          <w:b w:val="false"/>
          <w:color w:val="000000"/>
          <w:sz w:val="22"/>
          <w:u w:val="single"/>
        </w:rPr>
        <w:t>Section 2.02(a</w:t>
      </w:r>
      <w:r>
        <w:rPr>
          <w:rFonts w:ascii="Times New Roman;serif" w:hAnsi="Times New Roman;serif"/>
          <w:b w:val="false"/>
          <w:color w:val="000000"/>
          <w:sz w:val="22"/>
        </w:rPr>
        <w:t xml:space="preserve">), which shall be substantially in the form of </w:t>
      </w:r>
      <w:r>
        <w:rPr>
          <w:rFonts w:ascii="Times New Roman;serif" w:hAnsi="Times New Roman;serif"/>
          <w:b w:val="false"/>
          <w:color w:val="000000"/>
          <w:sz w:val="22"/>
          <w:u w:val="single"/>
        </w:rPr>
        <w:t>Exhibit E</w:t>
      </w:r>
      <w:r>
        <w:rPr>
          <w:color w:val="000000"/>
        </w:rPr>
        <w:t xml:space="preserve"> </w:t>
      </w:r>
      <w:r>
        <w:rPr>
          <w:rFonts w:ascii="Times New Roman;serif" w:hAnsi="Times New Roman;serif"/>
          <w:b w:val="false"/>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Loan Parties</w:t>
      </w:r>
      <w:r>
        <w:rPr>
          <w:color w:val="000000"/>
        </w:rPr>
        <w:t xml:space="preserve">” </w:t>
      </w:r>
      <w:r>
        <w:rPr>
          <w:rFonts w:ascii="Times New Roman;serif" w:hAnsi="Times New Roman;serif"/>
          <w:b w:val="false"/>
          <w:color w:val="000000"/>
          <w:sz w:val="22"/>
        </w:rPr>
        <w:t>means, collectively, the Borrowers, each Designated Borrower and each Guarantor.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Mandatory Cost</w:t>
      </w:r>
      <w:r>
        <w:rPr>
          <w:color w:val="000000"/>
        </w:rPr>
        <w:t xml:space="preserve">” </w:t>
      </w:r>
      <w:r>
        <w:rPr>
          <w:rFonts w:ascii="Times New Roman;serif" w:hAnsi="Times New Roman;serif"/>
          <w:b w:val="false"/>
          <w:color w:val="000000"/>
          <w:sz w:val="22"/>
        </w:rPr>
        <w:t>means any amount incurred periodically by any Lender during the term of the Facility which constitutes fees, costs or charges imposed on lenders generally in the jurisdiction in which such Lender is domiciled, subject to regulation, or has its Lending Office by any Governmental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Master Agreement</w:t>
      </w:r>
      <w:r>
        <w:rPr>
          <w:color w:val="000000"/>
        </w:rPr>
        <w:t xml:space="preserve">” </w:t>
      </w:r>
      <w:r>
        <w:rPr>
          <w:rFonts w:ascii="Times New Roman;serif" w:hAnsi="Times New Roman;serif"/>
          <w:b w:val="false"/>
          <w:color w:val="000000"/>
          <w:sz w:val="22"/>
        </w:rPr>
        <w:t>has the meaning set forth in the definition of “Swap Contract.”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Material Adverse Effect</w:t>
      </w:r>
      <w:r>
        <w:rPr>
          <w:color w:val="000000"/>
        </w:rPr>
        <w:t xml:space="preserve">” </w:t>
      </w:r>
      <w:r>
        <w:rPr>
          <w:rFonts w:ascii="Times New Roman;serif" w:hAnsi="Times New Roman;serif"/>
          <w:b w:val="false"/>
          <w:color w:val="000000"/>
          <w:sz w:val="22"/>
        </w:rPr>
        <w:t>means (a) a material adverse change in, or a material adverse effect upon, the operations, business, properties, liabilities (actual or contingent) or financial condition of the Company, individually, or the Company and its Subsidiaries taken as a whole; or (b) a material adverse effect on (i) the ability of the Loan Parties to perform their Obligations under any Loan Document to which they are a party, (ii) the legality, validity, binding effect or enforceability against any Loan Party of any Loan Document to which it is a party or (iii) the rights, remedies and benefits available to, or conferred upon, the Administrative Agent or any Lender under any Loan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Material</w:t>
      </w:r>
      <w:r>
        <w:rPr>
          <w:color w:val="000000"/>
          <w:u w:val="single"/>
        </w:rPr>
        <w:t xml:space="preserve"> </w:t>
      </w:r>
      <w:r>
        <w:rPr>
          <w:rFonts w:ascii="Times New Roman;serif" w:hAnsi="Times New Roman;serif"/>
          <w:b w:val="false"/>
          <w:i/>
          <w:color w:val="000000"/>
          <w:sz w:val="22"/>
          <w:u w:val="single"/>
        </w:rPr>
        <w:t>Domestic</w:t>
      </w:r>
      <w:r>
        <w:rPr>
          <w:color w:val="000000"/>
          <w:u w:val="single"/>
        </w:rPr>
        <w:t xml:space="preserve"> </w:t>
      </w:r>
      <w:r>
        <w:rPr>
          <w:rFonts w:ascii="Times New Roman;serif" w:hAnsi="Times New Roman;serif"/>
          <w:b w:val="false"/>
          <w:i/>
          <w:color w:val="000000"/>
          <w:sz w:val="22"/>
          <w:u w:val="single"/>
        </w:rPr>
        <w:t>Subsidiary</w:t>
      </w:r>
      <w:r>
        <w:rPr>
          <w:color w:val="000000"/>
        </w:rPr>
        <w:t xml:space="preserve">” </w:t>
      </w:r>
      <w:r>
        <w:rPr>
          <w:rFonts w:ascii="Times New Roman;serif" w:hAnsi="Times New Roman;serif"/>
          <w:b w:val="false"/>
          <w:color w:val="000000"/>
          <w:sz w:val="22"/>
        </w:rPr>
        <w:t xml:space="preserve">means any Domestic Subsidiary of any Borrower that, together with its Subsidiaries, (a) generates more than 5% of Consolidated EBITDA on a Pro Forma Basis for the four (4) fiscal quarter period most recently ended or (b) has total assets (including equity interests in other Subsidiaries and excluding investments that are eliminated in consolidation) of equal to or greater than 5% of the total assets of the Company and its Subsidiaries, on a consolidated basis as of the end of the most recent four (4) fiscal quarters;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if at any time there are Domestic Subsidiaries which are not classified as “Material Domestic Subsidiaries” but which collectively (i) generate more than 15% of Consolidated EBITDA on a Pro Forma Basis or (ii) have total assets (including equity interests in other Subsidiaries and excluding investments that are eliminated in consolidation) of equal to or greater than 15% of the total assets of the Company and its Subsidiaries on a Consolidated basis, then the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85445"/>
                <wp:effectExtent l="0" t="0" r="0" b="0"/>
                <wp:wrapNone/>
                <wp:docPr id="64" name="Frame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Company shall promptly designate one or more of such Domestic Subsidiaries as Material Domestic Subsidiaries and cause any such Domestic Subsidiaries to comply with the provisions of </w:t>
      </w:r>
      <w:r>
        <w:rPr>
          <w:rFonts w:ascii="Times New Roman;serif" w:hAnsi="Times New Roman;serif"/>
          <w:b w:val="false"/>
          <w:color w:val="000000"/>
          <w:sz w:val="22"/>
          <w:u w:val="single"/>
        </w:rPr>
        <w:t>Section 6.13</w:t>
      </w:r>
      <w:r>
        <w:rPr>
          <w:color w:val="000000"/>
        </w:rPr>
        <w:t xml:space="preserve"> </w:t>
      </w:r>
      <w:r>
        <w:rPr>
          <w:rFonts w:ascii="Times New Roman;serif" w:hAnsi="Times New Roman;serif"/>
          <w:b w:val="false"/>
          <w:color w:val="000000"/>
          <w:sz w:val="22"/>
        </w:rPr>
        <w:t>such that, after such Domestic Subsidiaries become Guarantors hereunder, the Domestic Subsidiaries that are not Guarantors shall (A) generate less than 10% of Consolidated EBITDA and (B) have total assets of less than 10% of the total assets of the Company and its Subsidiaries on a Consolidated basis.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Maturity Date</w:t>
      </w:r>
      <w:r>
        <w:rPr>
          <w:color w:val="000000"/>
        </w:rPr>
        <w:t xml:space="preserve">” </w:t>
      </w:r>
      <w:r>
        <w:rPr>
          <w:rFonts w:ascii="Times New Roman;serif" w:hAnsi="Times New Roman;serif"/>
          <w:b w:val="false"/>
          <w:color w:val="000000"/>
          <w:sz w:val="22"/>
        </w:rPr>
        <w:t xml:space="preserve">means (a) with respect to the Revolving Facility, July 31, 2031, and (b) with respect to the Term Facility, July 31, 2031;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in each case, if such date is not a Business Day, the Maturity Date shall be the next preceding Business Day.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Maximum Rate</w:t>
      </w:r>
      <w:r>
        <w:rPr>
          <w:color w:val="000000"/>
        </w:rPr>
        <w:t xml:space="preserve">” </w:t>
      </w:r>
      <w:r>
        <w:rPr>
          <w:rFonts w:ascii="Times New Roman;serif" w:hAnsi="Times New Roman;serif"/>
          <w:b w:val="false"/>
          <w:color w:val="000000"/>
          <w:sz w:val="22"/>
        </w:rPr>
        <w:t xml:space="preserve">has the meaning specified in Section 11.09.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Measurement Period</w:t>
      </w:r>
      <w:r>
        <w:rPr>
          <w:color w:val="000000"/>
        </w:rPr>
        <w:t xml:space="preserve">” </w:t>
      </w:r>
      <w:r>
        <w:rPr>
          <w:rFonts w:ascii="Times New Roman;serif" w:hAnsi="Times New Roman;serif"/>
          <w:b w:val="false"/>
          <w:color w:val="000000"/>
          <w:sz w:val="22"/>
        </w:rPr>
        <w:t xml:space="preserve">means, at any date of determination, the most recently completed four (4) fiscal quarters of the Company (or, for purposes of determining Pro Forma Compliance, the most recently completed four (4) fiscal quarters of Company for which financial statements have been delivered pursuant to </w:t>
      </w:r>
      <w:r>
        <w:rPr>
          <w:rFonts w:ascii="Times New Roman;serif" w:hAnsi="Times New Roman;serif"/>
          <w:b w:val="false"/>
          <w:color w:val="000000"/>
          <w:sz w:val="22"/>
          <w:u w:val="single"/>
        </w:rPr>
        <w:t>Section 6.01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Minimum Collateral Amount</w:t>
      </w:r>
      <w:r>
        <w:rPr>
          <w:color w:val="000000"/>
        </w:rPr>
        <w:t xml:space="preserve">” </w:t>
      </w:r>
      <w:r>
        <w:rPr>
          <w:rFonts w:ascii="Times New Roman;serif" w:hAnsi="Times New Roman;serif"/>
          <w:b w:val="false"/>
          <w:color w:val="000000"/>
          <w:sz w:val="22"/>
        </w:rPr>
        <w:t>means, at any time, (a) with respect to Cash Collateral consisting of cash or deposit account balances, an amount equal to 105% of the Fronting Exposure of all L/C Issuers with respect to Letters of Credit issued and outstanding at such time and (b) otherwise, an amount determined by the Administrative Agent and the L/C Issuers in their sole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Moody</w:t>
      </w:r>
      <w:r>
        <w:rPr>
          <w:color w:val="000000"/>
          <w:u w:val="single"/>
        </w:rPr>
        <w:t>’</w:t>
      </w:r>
      <w:r>
        <w:rPr>
          <w:rFonts w:ascii="Times New Roman;serif" w:hAnsi="Times New Roman;serif"/>
          <w:b w:val="false"/>
          <w:i/>
          <w:color w:val="000000"/>
          <w:sz w:val="22"/>
          <w:u w:val="single"/>
        </w:rPr>
        <w:t>s</w:t>
      </w:r>
      <w:r>
        <w:rPr>
          <w:color w:val="000000"/>
        </w:rPr>
        <w:t xml:space="preserve">” </w:t>
      </w:r>
      <w:r>
        <w:rPr>
          <w:rFonts w:ascii="Times New Roman;serif" w:hAnsi="Times New Roman;serif"/>
          <w:b w:val="false"/>
          <w:color w:val="000000"/>
          <w:sz w:val="22"/>
        </w:rPr>
        <w:t>means Moody’s Investors Service, Inc. and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Multiemployer Plan</w:t>
      </w:r>
      <w:r>
        <w:rPr>
          <w:color w:val="000000"/>
        </w:rPr>
        <w:t xml:space="preserve">” </w:t>
      </w:r>
      <w:r>
        <w:rPr>
          <w:rFonts w:ascii="Times New Roman;serif" w:hAnsi="Times New Roman;serif"/>
          <w:b w:val="false"/>
          <w:color w:val="000000"/>
          <w:sz w:val="22"/>
        </w:rPr>
        <w:t>means any employee benefit plan of the type described in Section 4001(a)(3) of ERISA and subject to Title IV of ERISA, to which any Borrower or any ERISA Affiliate makes or is obligated to make contributions, or during the preceding five (5) plan years, has made or been obligated to make contributions.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Multiple Employer Plan</w:t>
      </w:r>
      <w:r>
        <w:rPr>
          <w:color w:val="000000"/>
        </w:rPr>
        <w:t xml:space="preserve">” </w:t>
      </w:r>
      <w:r>
        <w:rPr>
          <w:rFonts w:ascii="Times New Roman;serif" w:hAnsi="Times New Roman;serif"/>
          <w:b w:val="false"/>
          <w:color w:val="000000"/>
          <w:sz w:val="22"/>
        </w:rPr>
        <w:t>means a Plan which has two or more contributing sponsors (including any Borrower or any ERISA Affiliate) at least two of whom are not under common control, as such a plan is described in Section 4064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Non</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Consenting Lender</w:t>
      </w:r>
      <w:r>
        <w:rPr>
          <w:color w:val="000000"/>
        </w:rPr>
        <w:t xml:space="preserve">” </w:t>
      </w:r>
      <w:r>
        <w:rPr>
          <w:rFonts w:ascii="Times New Roman;serif" w:hAnsi="Times New Roman;serif"/>
          <w:b w:val="false"/>
          <w:color w:val="000000"/>
          <w:sz w:val="22"/>
        </w:rPr>
        <w:t xml:space="preserve">means any Lender that does not approve any consent, waiver or amendment that (a) requires the approval of all Lenders or all affected Lenders, or all Lenders or all affected Lenders in a Facility in accordance with the terms of </w:t>
      </w:r>
      <w:r>
        <w:rPr>
          <w:rFonts w:ascii="Times New Roman;serif" w:hAnsi="Times New Roman;serif"/>
          <w:b w:val="false"/>
          <w:color w:val="000000"/>
          <w:sz w:val="22"/>
          <w:u w:val="single"/>
        </w:rPr>
        <w:t>Section 11.01</w:t>
      </w:r>
      <w:r>
        <w:rPr>
          <w:color w:val="000000"/>
        </w:rPr>
        <w:t xml:space="preserve"> </w:t>
      </w:r>
      <w:r>
        <w:rPr>
          <w:rFonts w:ascii="Times New Roman;serif" w:hAnsi="Times New Roman;serif"/>
          <w:b w:val="false"/>
          <w:color w:val="000000"/>
          <w:sz w:val="22"/>
        </w:rPr>
        <w:t>and (b) has been approved by the Required Lenders.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Non</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Defaulting Lender</w:t>
      </w:r>
      <w:r>
        <w:rPr>
          <w:color w:val="000000"/>
        </w:rPr>
        <w:t xml:space="preserve">” </w:t>
      </w:r>
      <w:r>
        <w:rPr>
          <w:rFonts w:ascii="Times New Roman;serif" w:hAnsi="Times New Roman;serif"/>
          <w:b w:val="false"/>
          <w:color w:val="000000"/>
          <w:sz w:val="22"/>
        </w:rPr>
        <w:t>means, at any time, each Lender that is not a Defaulting Lender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Note</w:t>
      </w:r>
      <w:r>
        <w:rPr>
          <w:color w:val="000000"/>
        </w:rPr>
        <w:t xml:space="preserve">” </w:t>
      </w:r>
      <w:r>
        <w:rPr>
          <w:rFonts w:ascii="Times New Roman;serif" w:hAnsi="Times New Roman;serif"/>
          <w:b w:val="false"/>
          <w:color w:val="000000"/>
          <w:sz w:val="22"/>
        </w:rPr>
        <w:t>means a Term Note or a Revolving Note, as the context may require.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Notice of Additional L</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C Issuer</w:t>
      </w:r>
      <w:r>
        <w:rPr>
          <w:color w:val="000000"/>
        </w:rPr>
        <w:t xml:space="preserve">” </w:t>
      </w:r>
      <w:r>
        <w:rPr>
          <w:rFonts w:ascii="Times New Roman;serif" w:hAnsi="Times New Roman;serif"/>
          <w:b w:val="false"/>
          <w:color w:val="000000"/>
          <w:sz w:val="22"/>
        </w:rPr>
        <w:t xml:space="preserve">means a certificate substantially in the form of </w:t>
      </w:r>
      <w:r>
        <w:rPr>
          <w:rFonts w:ascii="Times New Roman;serif" w:hAnsi="Times New Roman;serif"/>
          <w:b w:val="false"/>
          <w:color w:val="000000"/>
          <w:sz w:val="22"/>
          <w:u w:val="single"/>
        </w:rPr>
        <w:t>Exhibit R</w:t>
      </w:r>
      <w:r>
        <w:rPr>
          <w:color w:val="000000"/>
        </w:rPr>
        <w:t xml:space="preserve"> </w:t>
      </w:r>
      <w:r>
        <w:rPr>
          <w:rFonts w:ascii="Times New Roman;serif" w:hAnsi="Times New Roman;serif"/>
          <w:b w:val="false"/>
          <w:color w:val="000000"/>
          <w:sz w:val="22"/>
        </w:rPr>
        <w:t>or any other form approved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Notice of Loan Prepayment</w:t>
      </w:r>
      <w:r>
        <w:rPr>
          <w:color w:val="000000"/>
        </w:rPr>
        <w:t xml:space="preserve">” </w:t>
      </w:r>
      <w:r>
        <w:rPr>
          <w:rFonts w:ascii="Times New Roman;serif" w:hAnsi="Times New Roman;serif"/>
          <w:b w:val="false"/>
          <w:color w:val="000000"/>
          <w:sz w:val="22"/>
        </w:rPr>
        <w:t xml:space="preserve">means a notice of prepayment with respect to a Loan, which shall be substantially in the form of </w:t>
      </w:r>
      <w:r>
        <w:rPr>
          <w:rFonts w:ascii="Times New Roman;serif" w:hAnsi="Times New Roman;serif"/>
          <w:b w:val="false"/>
          <w:color w:val="000000"/>
          <w:sz w:val="22"/>
          <w:u w:val="single"/>
        </w:rPr>
        <w:t>Exhibit O</w:t>
      </w:r>
      <w:r>
        <w:rPr>
          <w:color w:val="000000"/>
        </w:rPr>
        <w:t xml:space="preserve"> </w:t>
      </w:r>
      <w:r>
        <w:rPr>
          <w:rFonts w:ascii="Times New Roman;serif" w:hAnsi="Times New Roman;serif"/>
          <w:b w:val="false"/>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85445"/>
                <wp:effectExtent l="0" t="0" r="0" b="0"/>
                <wp:wrapNone/>
                <wp:docPr id="65" name="Frame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NSIA</w:t>
      </w:r>
      <w:r>
        <w:rPr>
          <w:color w:val="000000"/>
        </w:rPr>
        <w:t xml:space="preserve">” </w:t>
      </w:r>
      <w:r>
        <w:rPr>
          <w:rFonts w:ascii="Times New Roman;serif" w:hAnsi="Times New Roman;serif"/>
          <w:b w:val="false"/>
          <w:color w:val="000000"/>
          <w:sz w:val="22"/>
        </w:rPr>
        <w:t>means the National Security and Investment Act 2021.</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Obligated Party</w:t>
      </w:r>
      <w:r>
        <w:rPr>
          <w:color w:val="000000"/>
        </w:rPr>
        <w:t xml:space="preserve">” </w:t>
      </w:r>
      <w:r>
        <w:rPr>
          <w:rFonts w:ascii="Times New Roman;serif" w:hAnsi="Times New Roman;serif"/>
          <w:b w:val="false"/>
          <w:color w:val="000000"/>
          <w:sz w:val="22"/>
        </w:rPr>
        <w:t>has the meaning given to such term in Section 10.02.</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Obligations</w:t>
      </w:r>
      <w:r>
        <w:rPr>
          <w:color w:val="000000"/>
        </w:rPr>
        <w:t xml:space="preserve">” </w:t>
      </w:r>
      <w:r>
        <w:rPr>
          <w:rFonts w:ascii="Times New Roman;serif" w:hAnsi="Times New Roman;serif"/>
          <w:b w:val="false"/>
          <w:color w:val="000000"/>
          <w:sz w:val="22"/>
        </w:rPr>
        <w:t xml:space="preserve">means (a) all advances to, and debts, liabilities, obligations, covenants and duties of, any Loan Party arising under any Loan Document or otherwise with respect to any Loan or Letter of Credit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pursuant to any proceeding under any Debtor Relief Laws naming such Person as the debtor in such proceeding, regardless of whether such interest, expenses and fees are allowed claims in such proceeding;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without limiting the foregoing, the Obligations of a Loan Party shall exclude any Excluded Swap Obligations with respect to such Loan Party.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OFAC</w:t>
      </w:r>
      <w:r>
        <w:rPr>
          <w:color w:val="000000"/>
        </w:rPr>
        <w:t xml:space="preserve">” </w:t>
      </w:r>
      <w:r>
        <w:rPr>
          <w:rFonts w:ascii="Times New Roman;serif" w:hAnsi="Times New Roman;serif"/>
          <w:b w:val="false"/>
          <w:color w:val="000000"/>
          <w:sz w:val="22"/>
        </w:rPr>
        <w:t>means the Office of Foreign Assets Control of the United States Department of the Treasury.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Officer</w:t>
      </w:r>
      <w:r>
        <w:rPr>
          <w:color w:val="000000"/>
          <w:u w:val="single"/>
        </w:rPr>
        <w:t>’</w:t>
      </w:r>
      <w:r>
        <w:rPr>
          <w:rFonts w:ascii="Times New Roman;serif" w:hAnsi="Times New Roman;serif"/>
          <w:b w:val="false"/>
          <w:i/>
          <w:color w:val="000000"/>
          <w:sz w:val="22"/>
          <w:u w:val="single"/>
        </w:rPr>
        <w:t>s</w:t>
      </w:r>
      <w:r>
        <w:rPr>
          <w:color w:val="000000"/>
          <w:u w:val="single"/>
        </w:rPr>
        <w:t xml:space="preserve"> </w:t>
      </w:r>
      <w:r>
        <w:rPr>
          <w:rFonts w:ascii="Times New Roman;serif" w:hAnsi="Times New Roman;serif"/>
          <w:b w:val="false"/>
          <w:i/>
          <w:color w:val="000000"/>
          <w:sz w:val="22"/>
          <w:u w:val="single"/>
        </w:rPr>
        <w:t>Certificate</w:t>
      </w:r>
      <w:r>
        <w:rPr>
          <w:color w:val="000000"/>
        </w:rPr>
        <w:t xml:space="preserve">” </w:t>
      </w:r>
      <w:r>
        <w:rPr>
          <w:rFonts w:ascii="Times New Roman;serif" w:hAnsi="Times New Roman;serif"/>
          <w:b w:val="false"/>
          <w:color w:val="000000"/>
          <w:sz w:val="22"/>
        </w:rPr>
        <w:t xml:space="preserve">means a certificate substantially in the form of </w:t>
      </w:r>
      <w:r>
        <w:rPr>
          <w:rFonts w:ascii="Times New Roman;serif" w:hAnsi="Times New Roman;serif"/>
          <w:b w:val="false"/>
          <w:color w:val="000000"/>
          <w:sz w:val="22"/>
          <w:u w:val="single"/>
        </w:rPr>
        <w:t>Exhibit J</w:t>
      </w:r>
      <w:r>
        <w:rPr>
          <w:color w:val="000000"/>
        </w:rPr>
        <w:t xml:space="preserve"> </w:t>
      </w:r>
      <w:r>
        <w:rPr>
          <w:rFonts w:ascii="Times New Roman;serif" w:hAnsi="Times New Roman;serif"/>
          <w:b w:val="false"/>
          <w:color w:val="000000"/>
          <w:sz w:val="22"/>
        </w:rPr>
        <w:t>or any other form approved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Organization Documents</w:t>
      </w:r>
      <w:r>
        <w:rPr>
          <w:color w:val="000000"/>
        </w:rPr>
        <w:t xml:space="preserve">” </w:t>
      </w:r>
      <w:r>
        <w:rPr>
          <w:rFonts w:ascii="Times New Roman;serif" w:hAnsi="Times New Roman;serif"/>
          <w:b w:val="false"/>
          <w:color w:val="000000"/>
          <w:sz w:val="22"/>
        </w:rPr>
        <w:t>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(or equivalent or comparable documents with respect to any non-U.S. jurisdiction); (c) with respect to any partnership, joint venture, trust or other form of business entity, the partnership, joint venture or other applicable agreement of formation or organization (or equivalent or comparable documents with respect to any non-U.S. jurisdiction) and (d) with respect to all entities, any agreement, instrument, filing or notice with respect thereto filed in connection with its formation or organization with the applicable Governmental Authority in the jurisdiction of its formation or organization (or equivalent or comparable documents with respect to any non-U.S. jurisdiction).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Other Connection Taxes</w:t>
      </w:r>
      <w:r>
        <w:rPr>
          <w:color w:val="000000"/>
        </w:rPr>
        <w:t xml:space="preserve">” </w:t>
      </w:r>
      <w:r>
        <w:rPr>
          <w:rFonts w:ascii="Times New Roman;serif" w:hAnsi="Times New Roman;serif"/>
          <w:b w:val="false"/>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Other Taxes</w:t>
      </w:r>
      <w:r>
        <w:rPr>
          <w:color w:val="000000"/>
        </w:rPr>
        <w:t xml:space="preserve">” </w:t>
      </w:r>
      <w:r>
        <w:rPr>
          <w:rFonts w:ascii="Times New Roman;serif" w:hAnsi="Times New Roman;serif"/>
          <w:b w:val="false"/>
          <w:color w:val="000000"/>
          <w:sz w:val="22"/>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serif" w:hAnsi="Times New Roman;serif"/>
          <w:b w:val="false"/>
          <w:color w:val="000000"/>
          <w:sz w:val="22"/>
          <w:u w:val="single"/>
        </w:rPr>
        <w:t>Section 3.06</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Outbound Investment Rules</w:t>
      </w:r>
      <w:r>
        <w:rPr>
          <w:color w:val="000000"/>
        </w:rPr>
        <w:t xml:space="preserve">” </w:t>
      </w:r>
      <w:r>
        <w:rPr>
          <w:rFonts w:ascii="Times New Roman;serif" w:hAnsi="Times New Roman;serif"/>
          <w:b w:val="false"/>
          <w:color w:val="000000"/>
          <w:sz w:val="22"/>
        </w:rPr>
        <w:t>means the regulations administered and enforced by the United States Treasury Department under U.S. Executive Order 14105 of August 9, 2023, or any similar law or regulation; as of the date of this Agreement, and as codified at 31 C.F.R. § 850.101 et seq.</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85445"/>
                <wp:effectExtent l="0" t="0" r="0" b="0"/>
                <wp:wrapNone/>
                <wp:docPr id="66" name="Frame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Outstanding Amount</w:t>
      </w:r>
      <w:r>
        <w:rPr>
          <w:color w:val="000000"/>
        </w:rPr>
        <w:t xml:space="preserve">” </w:t>
      </w:r>
      <w:r>
        <w:rPr>
          <w:rFonts w:ascii="Times New Roman;serif" w:hAnsi="Times New Roman;serif"/>
          <w:b w:val="false"/>
          <w:color w:val="000000"/>
          <w:sz w:val="22"/>
        </w:rPr>
        <w:t>means (a) with respect to Term Loans, Revolving Loans and Swingline Loans on any date, the Dollar Equivalent amount of the aggregate outstanding principal amount thereof after giving effect to any Borrowings and prepayments or repayments of Term Loans, Revolving Loans and Swingline Loans, as the case may be, occurring on such date; and (b)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any Borrower of Unreimbursed Amounts.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Overnight Rate</w:t>
      </w:r>
      <w:r>
        <w:rPr>
          <w:color w:val="000000"/>
        </w:rPr>
        <w:t xml:space="preserve">” </w:t>
      </w:r>
      <w:r>
        <w:rPr>
          <w:rFonts w:ascii="Times New Roman;serif" w:hAnsi="Times New Roman;serif"/>
          <w:b w:val="false"/>
          <w:color w:val="000000"/>
          <w:sz w:val="22"/>
        </w:rPr>
        <w:t>means, for any day, (a) with respect to any amount denominated in Dollars, the greater of (i) the Federal Funds Rate and (ii) an overnight rate determined by the Administrative Agent, the L/C Issuers, or the Swingline Lender, as the case may be, in accordance with banking industry rules on interbank compensation, and (b) with respect to any amount denominated in an Alternative Currency, an overnight rate determined by the Administrative Agent or the L/C Issuers, as the case may be, in accordance with banking industry rules on interbank compensation.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Participant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11.06(d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Participant Register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11.06(d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Participating Member State</w:t>
      </w:r>
      <w:r>
        <w:rPr>
          <w:color w:val="000000"/>
        </w:rPr>
        <w:t xml:space="preserve">” </w:t>
      </w:r>
      <w:r>
        <w:rPr>
          <w:rFonts w:ascii="Times New Roman;serif" w:hAnsi="Times New Roman;serif"/>
          <w:b w:val="false"/>
          <w:color w:val="000000"/>
          <w:sz w:val="22"/>
        </w:rPr>
        <w:t>means any member state of the European Union that adopts or has adopted the Euro as its lawful currency in accordance with legislation of the European Union relating to Economic and Monetary Union.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Patriot Act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11.19</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PBGC</w:t>
      </w:r>
      <w:r>
        <w:rPr>
          <w:color w:val="000000"/>
        </w:rPr>
        <w:t xml:space="preserve">” </w:t>
      </w:r>
      <w:r>
        <w:rPr>
          <w:rFonts w:ascii="Times New Roman;serif" w:hAnsi="Times New Roman;serif"/>
          <w:b w:val="false"/>
          <w:color w:val="000000"/>
          <w:sz w:val="22"/>
        </w:rPr>
        <w:t>means the Pension Benefit Guaranty Corporation.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Pension Funding Rules</w:t>
      </w:r>
      <w:r>
        <w:rPr>
          <w:color w:val="000000"/>
        </w:rPr>
        <w:t xml:space="preserve">” </w:t>
      </w:r>
      <w:r>
        <w:rPr>
          <w:rFonts w:ascii="Times New Roman;serif" w:hAnsi="Times New Roman;serif"/>
          <w:b w:val="false"/>
          <w:color w:val="000000"/>
          <w:sz w:val="22"/>
        </w:rPr>
        <w:t>means the rules of the Code and ERISA regarding minimum funding standards with respect to Pension Plans and set forth in Sections 412, 430, 431, 432 and 436 of the Code and Sections 302, 303, 304 and 305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Pension Plan</w:t>
      </w:r>
      <w:r>
        <w:rPr>
          <w:color w:val="000000"/>
        </w:rPr>
        <w:t xml:space="preserve">” </w:t>
      </w:r>
      <w:r>
        <w:rPr>
          <w:rFonts w:ascii="Times New Roman;serif" w:hAnsi="Times New Roman;serif"/>
          <w:b w:val="false"/>
          <w:color w:val="000000"/>
          <w:sz w:val="22"/>
        </w:rPr>
        <w:t>means any employee pension benefit plan (including a Multiple Employer Plan or a Multiemployer Plan) that is maintained or is contributed to by any Borrower and any ERISA Affiliate or with respect to which any Borrower or any ERISA Affiliate has any liability and is either covered by Title IV of ERISA or is subject to the minimum funding standards under Section 412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Pensions Regulator</w:t>
      </w:r>
      <w:r>
        <w:rPr>
          <w:color w:val="000000"/>
        </w:rPr>
        <w:t xml:space="preserve">” </w:t>
      </w:r>
      <w:r>
        <w:rPr>
          <w:rFonts w:ascii="Times New Roman;serif" w:hAnsi="Times New Roman;serif"/>
          <w:b w:val="false"/>
          <w:color w:val="000000"/>
          <w:sz w:val="22"/>
        </w:rPr>
        <w:t>means the body corporate called the Pensions Regulator established under Part I of the United Kingdom Pensions Act 2004.</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Permitted Acquisition</w:t>
      </w:r>
      <w:r>
        <w:rPr>
          <w:color w:val="000000"/>
        </w:rPr>
        <w:t xml:space="preserve">” </w:t>
      </w:r>
      <w:r>
        <w:rPr>
          <w:rFonts w:ascii="Times New Roman;serif" w:hAnsi="Times New Roman;serif"/>
          <w:b w:val="false"/>
          <w:color w:val="000000"/>
          <w:sz w:val="22"/>
        </w:rPr>
        <w:t>means an Acquisition by a Loan Party or a Subsidiary of a Person, division, line of business, other business unit of a Person to be acquired in such Acquisition or lateral hires of individual (or groups thereof) employees and consultants (shall be referred to herein as the “</w:t>
      </w:r>
      <w:r>
        <w:rPr>
          <w:rFonts w:ascii="Times New Roman;serif" w:hAnsi="Times New Roman;serif"/>
          <w:b w:val="false"/>
          <w:i/>
          <w:color w:val="000000"/>
          <w:sz w:val="22"/>
          <w:u w:val="single"/>
        </w:rPr>
        <w:t>Target</w:t>
      </w:r>
      <w:r>
        <w:rPr>
          <w:color w:val="000000"/>
        </w:rPr>
        <w:t>”</w:t>
      </w:r>
      <w:r>
        <w:rPr>
          <w:rFonts w:ascii="Times New Roman;serif" w:hAnsi="Times New Roman;serif"/>
          <w:b w:val="false"/>
          <w:color w:val="000000"/>
          <w:sz w:val="22"/>
        </w:rPr>
        <w:t>), in each case that is a type of business (or assets used in a type of business) permitted to be engaged in by the Borrowers and their Subsidiaries pursuant to the terms of this Agreement, in each case so long as: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no Default shall then exist or would exist after giving effect thereto;</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85445"/>
                <wp:effectExtent l="0" t="0" r="0" b="0"/>
                <wp:wrapNone/>
                <wp:docPr id="67" name="Frame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Loan Parties shall demonstrate to the reasonable satisfaction of the Administrative Agent that, after giving effect to the Acquisition on a Pro Forma Basis, the Loan Parties are in Pro Forma Compliance, including with each of the financial covenants set forth in Section 7.11; provided that, for purposes of calculating Pro Forma Compliance in connection with any Permitted Acquisition, Consolidated EBITDA shall be calculated in a manner consistent with the definition of "Consolidated EBITDA" set forth herein, including giving effect to any cost savings and synergies addback permitted thereunder;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[reserved];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    the Company shall have delivered or caused to be delivered to Administrative Agent (i) at least ten days’ (or such shorter period as may be acceptable to the Administrative Agent) prior written notice of any proposed acquisition in which the aggregate Consideration therefor is $50,000,000 or more, and (ii) prompt written notice following the consummation of any acquisition in which the aggregate Consideration therefor is less than $50,000,000. Any such notice shall include a reasonably detailed description of such acquisition. Furthermore, at least two Business Days prior to any proposed acquisition in which the aggregate Consideration therefor is $50,000,000 or more, the Company shall have delivered copies of all letters of intent, drafts of material agreements relating thereto, all material due diligence reports relating thereto, if available, and all such other information and documents that the Administrative Agent may reasonably request;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    such Acquisition shall not be a “hostile” Acquisition and shall have been approved by the board of directors (or equivalent) and/or shareholders (or equivalent) of the applicable Loan Party and the Target;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evidence , in a form acceptable to the Administrative Agent (acting reasonably), of clearance obtained under the NSIA is provided to the Administrative Agent at least 2 Business Days prior to completion of the acquisition if the acquisition is subject to the mandatory reporting regime under the NSIA;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(g)all transactions in connection therewith shall be consummated, in all material respects, in accordance with all applicable Laws and any Persons or assets or division as acquired in accordance herewith shall be in substantially the same business or lines of business in which the Company and its Subsidiaries are permitted to be engaged 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Permitted Acquisition Certificate</w:t>
      </w:r>
      <w:r>
        <w:rPr>
          <w:color w:val="000000"/>
        </w:rPr>
        <w:t xml:space="preserve">” </w:t>
      </w:r>
      <w:r>
        <w:rPr>
          <w:rFonts w:ascii="Times New Roman;serif" w:hAnsi="Times New Roman;serif"/>
          <w:b w:val="false"/>
          <w:color w:val="000000"/>
          <w:sz w:val="22"/>
        </w:rPr>
        <w:t xml:space="preserve">means a certificate substantially in the form of </w:t>
      </w:r>
      <w:r>
        <w:rPr>
          <w:rFonts w:ascii="Times New Roman;serif" w:hAnsi="Times New Roman;serif"/>
          <w:b w:val="false"/>
          <w:color w:val="000000"/>
          <w:sz w:val="22"/>
          <w:u w:val="single"/>
        </w:rPr>
        <w:t>Exhibit F</w:t>
      </w:r>
      <w:r>
        <w:rPr>
          <w:color w:val="000000"/>
        </w:rPr>
        <w:t xml:space="preserve"> </w:t>
      </w:r>
      <w:r>
        <w:rPr>
          <w:rFonts w:ascii="Times New Roman;serif" w:hAnsi="Times New Roman;serif"/>
          <w:b w:val="false"/>
          <w:color w:val="000000"/>
          <w:sz w:val="22"/>
        </w:rPr>
        <w:t>or any other form approved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Permitted Liens</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7.01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Permitted Transfers</w:t>
      </w:r>
      <w:r>
        <w:rPr>
          <w:color w:val="000000"/>
        </w:rPr>
        <w:t xml:space="preserve">” </w:t>
      </w:r>
      <w:r>
        <w:rPr>
          <w:rFonts w:ascii="Times New Roman;serif" w:hAnsi="Times New Roman;serif"/>
          <w:b w:val="false"/>
          <w:color w:val="000000"/>
          <w:sz w:val="22"/>
        </w:rPr>
        <w:t xml:space="preserve">means (a) Dispositions of inventory in the ordinary course of business; (b) Dispositions of property (i) from any Loan Party or any Domestic Subsidiary to any other Loan Party or Domestic Subsidiary, (ii) from any Foreign Subsidiary that is not a Loan Party to any Loan Party or any Domestic Subsidiary or other Foreign Subsidiary and (iii) from any Loan Party or any Domestic Subsidiary to any Foreign Subsidiary which is not a Loan Party not exceeding in the aggregate for all such Dispositions under this clause (iii) together with Investments made pursuant to </w:t>
      </w:r>
      <w:r>
        <w:rPr>
          <w:rFonts w:ascii="Times New Roman;serif" w:hAnsi="Times New Roman;serif"/>
          <w:b w:val="false"/>
          <w:color w:val="000000"/>
          <w:sz w:val="22"/>
          <w:u w:val="single"/>
        </w:rPr>
        <w:t>Section 7.03(c)</w:t>
      </w:r>
      <w:r>
        <w:rPr>
          <w:rFonts w:ascii="Times New Roman;serif" w:hAnsi="Times New Roman;serif"/>
          <w:b w:val="false"/>
          <w:color w:val="000000"/>
          <w:sz w:val="22"/>
        </w:rPr>
        <w:t xml:space="preserve">(iv), the greater of (x) $30,000,000 and (y) 20% of Consolidated EBITDA of the Company and its Subsidiaries as of the last day of the most recently ended Measurement Period for which financial statements have been delivered pursuant to Section 6.01 in the aggregate in any fiscal year of the Company (it being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85445"/>
                <wp:effectExtent l="0" t="0" r="0" b="0"/>
                <wp:wrapNone/>
                <wp:docPr id="68" name="Frame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understood that any Disposition made in reliance on clause (y) shall be permitted hereunder notwithstanding any subsequent decrease in Consolidated EBITDA); (c) Dispositions of accounts receivable in connection with the collection or compromise thereof; (d) licenses, sublicenses, leases or subleases granted to others in the ordinary course of business and which do not interfere in any material respect with the business of any Borrowers and their Subsidiaries; (e) the sale or disposition of Cash Equivalents for fair market value; (f) transfers of property subject to casualty event and Dispositions constituting expropriations or takings by a Governmental Authority and (g) the termination of Swap Contracts permitted by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Person</w:t>
      </w:r>
      <w:r>
        <w:rPr>
          <w:color w:val="000000"/>
        </w:rPr>
        <w:t xml:space="preserve">” </w:t>
      </w:r>
      <w:r>
        <w:rPr>
          <w:rFonts w:ascii="Times New Roman;serif" w:hAnsi="Times New Roman;serif"/>
          <w:b w:val="false"/>
          <w:color w:val="000000"/>
          <w:sz w:val="22"/>
        </w:rPr>
        <w:t>means any natural person, corporation, limited liability company, trust, joint venture, association, company, partnership, Governmental Authority or other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Plan</w:t>
      </w:r>
      <w:r>
        <w:rPr>
          <w:color w:val="000000"/>
        </w:rPr>
        <w:t xml:space="preserve">” </w:t>
      </w:r>
      <w:r>
        <w:rPr>
          <w:rFonts w:ascii="Times New Roman;serif" w:hAnsi="Times New Roman;serif"/>
          <w:b w:val="false"/>
          <w:color w:val="000000"/>
          <w:sz w:val="22"/>
        </w:rPr>
        <w:t>means any employee benefit plan within the meaning of Section 3(3) of ERISA (including a Pension Plan), maintained for employees of any Borrower or any ERISA Affiliate or any such Plan to which any Borrower or any ERISA Affiliate is required to contribute on behalf of any of its employees, but shall not include any Canadian Benefit Plan, Canadian Pension Plan or Canadian MEPP.</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Platform</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6.02(n)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PPSA</w:t>
      </w:r>
      <w:r>
        <w:rPr>
          <w:color w:val="000000"/>
        </w:rPr>
        <w:t xml:space="preserve">” </w:t>
      </w:r>
      <w:r>
        <w:rPr>
          <w:rFonts w:ascii="Times New Roman;serif" w:hAnsi="Times New Roman;serif"/>
          <w:b w:val="false"/>
          <w:color w:val="000000"/>
          <w:sz w:val="22"/>
        </w:rPr>
        <w:t>means the Personal Property Security Act (Ontario) and the regulations thereunder, as from time to time in effect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Pro Forma Basis</w:t>
      </w:r>
      <w:r>
        <w:rPr>
          <w:color w:val="000000"/>
        </w:rPr>
        <w:t xml:space="preserve">” </w:t>
      </w:r>
      <w:r>
        <w:rPr>
          <w:rFonts w:ascii="Times New Roman;serif" w:hAnsi="Times New Roman;serif"/>
          <w:b w:val="false"/>
          <w:color w:val="000000"/>
          <w:sz w:val="22"/>
        </w:rPr>
        <w:t>and “</w:t>
      </w:r>
      <w:r>
        <w:rPr>
          <w:rFonts w:ascii="Times New Roman;serif" w:hAnsi="Times New Roman;serif"/>
          <w:b w:val="false"/>
          <w:i/>
          <w:color w:val="000000"/>
          <w:sz w:val="22"/>
          <w:u w:val="single"/>
        </w:rPr>
        <w:t>Pro Forma Effect</w:t>
      </w:r>
      <w:r>
        <w:rPr>
          <w:color w:val="000000"/>
        </w:rPr>
        <w:t xml:space="preserve">” </w:t>
      </w:r>
      <w:r>
        <w:rPr>
          <w:rFonts w:ascii="Times New Roman;serif" w:hAnsi="Times New Roman;serif"/>
          <w:b w:val="false"/>
          <w:color w:val="000000"/>
          <w:sz w:val="22"/>
        </w:rPr>
        <w:t xml:space="preserve">means, for any Disposition of all or substantially all of a division or a line of business or for any Acquisition, whether actual or proposed, for purposes of determining compliance with the financial covenants set forth in </w:t>
      </w:r>
      <w:r>
        <w:rPr>
          <w:rFonts w:ascii="Times New Roman;serif" w:hAnsi="Times New Roman;serif"/>
          <w:b w:val="false"/>
          <w:color w:val="000000"/>
          <w:sz w:val="22"/>
          <w:u w:val="single"/>
        </w:rPr>
        <w:t>Section 7.11</w:t>
      </w:r>
      <w:r>
        <w:rPr>
          <w:rFonts w:ascii="Times New Roman;serif" w:hAnsi="Times New Roman;serif"/>
          <w:b w:val="false"/>
          <w:color w:val="000000"/>
          <w:sz w:val="22"/>
        </w:rPr>
        <w:t>, each such transaction or proposed transaction shall be deemed to have occurred on and as of the first day of the relevant Measurement Period, and the following pro forma adjustments shall be made: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in the case of an actual or proposed Disposition, all income statement items (whether positive or negative) attributable to the line of business or the Person subject to such Disposition shall be excluded from the results of any Borrower and its Subsidiaries for such Measurement Period;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in the case of an actual or proposed Acquisition, income statement items (whether positive or negative) attributable to the property, line of business or the Person subject to such Acquisition shall be included in the results of any Borrower and its Subsidiaries for such Measurement Period;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interest accrued during the relevant Measurement Period on, and the principal of, any Indebtedness repaid or to be repaid or refinanced in such transaction shall be excluded from the results of any Borrower and its Subsidiaries for such Measurement Period;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any Indebtedness actually or proposed to be incurred or assumed in such transaction shall be deemed to have been incurred as of the first day of the applicable Measurement Period, and interest thereon shall be deemed to have accrued from such day on such Indebtedness at the applicable rates provided therefor (and in the case of interest that does or would accrue at a formula or floating rate, at the rate in effect at the time of determination) and shall be included in the results of any Borrower and its Subsidiaries for such Measurement Period.</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85445"/>
                <wp:effectExtent l="0" t="0" r="0" b="0"/>
                <wp:wrapNone/>
                <wp:docPr id="69" name="Frame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Pro Forma Compliance</w:t>
      </w:r>
      <w:r>
        <w:rPr>
          <w:color w:val="000000"/>
        </w:rPr>
        <w:t xml:space="preserve">” </w:t>
      </w:r>
      <w:r>
        <w:rPr>
          <w:rFonts w:ascii="Times New Roman;serif" w:hAnsi="Times New Roman;serif"/>
          <w:b w:val="false"/>
          <w:color w:val="000000"/>
          <w:sz w:val="22"/>
        </w:rPr>
        <w:t>means, with respect to any transaction, that such transaction does not cause, create or result in a Default after giving Pro Forma Effect, based upon the results of operations for the most recently completed Measurement Period to (a) such transaction and (b) all other transactions which are contemplated or required to be given Pro Forma Effect hereunder that have occurred on or after the first day of the relevant Measurement Period.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PTE</w:t>
      </w:r>
      <w:r>
        <w:rPr>
          <w:color w:val="000000"/>
        </w:rPr>
        <w:t xml:space="preserve">” </w:t>
      </w:r>
      <w:r>
        <w:rPr>
          <w:rFonts w:ascii="Times New Roman;serif" w:hAnsi="Times New Roman;serif"/>
          <w:b w:val="false"/>
          <w:color w:val="000000"/>
          <w:sz w:val="22"/>
        </w:rPr>
        <w:t>means a prohibited transaction class exemption issued by the U.S. Department of Labor, as any such exemption may be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Public Lender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6.02(n)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QFC</w:t>
      </w:r>
      <w:r>
        <w:rPr>
          <w:color w:val="000000"/>
        </w:rPr>
        <w:t xml:space="preserve">” </w:t>
      </w:r>
      <w:r>
        <w:rPr>
          <w:rFonts w:ascii="Times New Roman;serif" w:hAnsi="Times New Roman;serif"/>
          <w:b w:val="false"/>
          <w:color w:val="000000"/>
          <w:sz w:val="22"/>
        </w:rPr>
        <w:t>has the meaning assigned to the term “qualified financial contract” in, and shall be interpreted in accordance with, 12 U.S.C. 5390(c)(8)(D).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QFC Credit Support</w:t>
      </w:r>
      <w:r>
        <w:rPr>
          <w:color w:val="000000"/>
        </w:rPr>
        <w:t xml:space="preserve">” </w:t>
      </w:r>
      <w:r>
        <w:rPr>
          <w:rFonts w:ascii="Times New Roman;serif" w:hAnsi="Times New Roman;serif"/>
          <w:b w:val="false"/>
          <w:color w:val="000000"/>
          <w:sz w:val="22"/>
        </w:rPr>
        <w:t>has the meaning specified in Section 11.21.</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Qualified ECP Guarantor</w:t>
      </w:r>
      <w:r>
        <w:rPr>
          <w:color w:val="000000"/>
        </w:rPr>
        <w:t xml:space="preserve">” </w:t>
      </w:r>
      <w:r>
        <w:rPr>
          <w:rFonts w:ascii="Times New Roman;serif" w:hAnsi="Times New Roman;serif"/>
          <w:b w:val="false"/>
          <w:color w:val="000000"/>
          <w:sz w:val="22"/>
        </w:rPr>
        <w:t>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Qualified Equity Interests</w:t>
      </w:r>
      <w:r>
        <w:rPr>
          <w:color w:val="000000"/>
        </w:rPr>
        <w:t xml:space="preserve">” </w:t>
      </w:r>
      <w:r>
        <w:rPr>
          <w:rFonts w:ascii="Times New Roman;serif" w:hAnsi="Times New Roman;serif"/>
          <w:b w:val="false"/>
          <w:color w:val="000000"/>
          <w:sz w:val="22"/>
        </w:rPr>
        <w:t>means any Equity Interests that are not Disqualified Equity Interests.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Qualifying Lender</w:t>
      </w:r>
      <w:r>
        <w:rPr>
          <w:color w:val="000000"/>
        </w:rPr>
        <w:t xml:space="preserve">” </w:t>
      </w:r>
      <w:r>
        <w:rPr>
          <w:rFonts w:ascii="Times New Roman;serif" w:hAnsi="Times New Roman;serif"/>
          <w:b w:val="false"/>
          <w:color w:val="000000"/>
          <w:sz w:val="22"/>
        </w:rPr>
        <w:t xml:space="preserve">means a Lender which is beneficially entitled to interest payable to that Lender in respect of an advance under the Loan Documents and is: (i) a Lender: (a) which is a bank (as defined for the purpose of section 879 of the United Kingdom Income Tax Act 2007) making an advance under the Loan Documents and is within the charge to United Kingdom corporation tax as respects any payments of interest made in respect of that advance or would be within such charge as respects such payment apart from section 18A of the United Kingdom Corporation Tax Act 2009; or (b) in respect of an advance made under a Loan Document by a person that was a bank (as defined for the purpose of section 879 of the United Kingdom Income Tax Act 2007) at the time that that advance was made and within the charge to United Kingdom corporation tax as respects any payments of interest made in respect of that advance; or (ii) a Treaty Lender, except where a UK Loan Party is required to make a Tax Deduction on a payment to such Lender and is able to demonstrate that the payment could have been made without the Tax Deduction had such Lender complied with its obligations under </w:t>
      </w:r>
      <w:r>
        <w:rPr>
          <w:rFonts w:ascii="Times New Roman;serif" w:hAnsi="Times New Roman;serif"/>
          <w:b w:val="false"/>
          <w:color w:val="000000"/>
          <w:sz w:val="22"/>
          <w:u w:val="single"/>
        </w:rPr>
        <w:t>Section 3.01(f)</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Rate Determination Date</w:t>
      </w:r>
      <w:r>
        <w:rPr>
          <w:color w:val="000000"/>
        </w:rPr>
        <w:t xml:space="preserve">” </w:t>
      </w:r>
      <w:r>
        <w:rPr>
          <w:rFonts w:ascii="Times New Roman;serif" w:hAnsi="Times New Roman;serif"/>
          <w:b w:val="false"/>
          <w:color w:val="000000"/>
          <w:sz w:val="22"/>
        </w:rPr>
        <w:t xml:space="preserve">means two (2) Business Days prior to the commencement of such Interest Period (or such other day as is generally treated as the rate fixing day by market practice in such interbank market, as determined by the Administrative Agent;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to the extent such market practice is not administratively feasible for the Administrative Agent, then “Rate Determination Date” means such other day as otherwise reasonably determined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Recipient</w:t>
      </w:r>
      <w:r>
        <w:rPr>
          <w:color w:val="000000"/>
        </w:rPr>
        <w:t xml:space="preserve">” </w:t>
      </w:r>
      <w:r>
        <w:rPr>
          <w:rFonts w:ascii="Times New Roman;serif" w:hAnsi="Times New Roman;serif"/>
          <w:b w:val="false"/>
          <w:color w:val="000000"/>
          <w:sz w:val="22"/>
        </w:rPr>
        <w:t>means the Administrative Agent, any Lender or any L/C Issuer,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Register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11.06(c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Regulation U</w:t>
      </w:r>
      <w:r>
        <w:rPr>
          <w:color w:val="000000"/>
        </w:rPr>
        <w:t xml:space="preserve">” </w:t>
      </w:r>
      <w:r>
        <w:rPr>
          <w:rFonts w:ascii="Times New Roman;serif" w:hAnsi="Times New Roman;serif"/>
          <w:b w:val="false"/>
          <w:color w:val="000000"/>
          <w:sz w:val="22"/>
        </w:rPr>
        <w:t>means Regulation U of the FRB, as in effect from time to time and all official rulings and interpretations thereunder or thereof.</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85445"/>
                <wp:effectExtent l="0" t="0" r="0" b="0"/>
                <wp:wrapNone/>
                <wp:docPr id="70" name="Frame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Related Parties</w:t>
      </w:r>
      <w:r>
        <w:rPr>
          <w:color w:val="000000"/>
        </w:rPr>
        <w:t xml:space="preserve">” </w:t>
      </w:r>
      <w:r>
        <w:rPr>
          <w:rFonts w:ascii="Times New Roman;serif" w:hAnsi="Times New Roman;serif"/>
          <w:b w:val="false"/>
          <w:color w:val="000000"/>
          <w:sz w:val="22"/>
        </w:rPr>
        <w:t>means, with respect to any Person, such Person’s Affiliates and the partners, directors, officers, employees, agents, trustees, administrators, managers, advisors, consultants, service providers and representatives of such Person and of such Person’s Affiliates.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Release</w:t>
      </w:r>
      <w:r>
        <w:rPr>
          <w:color w:val="000000"/>
        </w:rPr>
        <w:t xml:space="preserve">” </w:t>
      </w:r>
      <w:r>
        <w:rPr>
          <w:rFonts w:ascii="Times New Roman;serif" w:hAnsi="Times New Roman;serif"/>
          <w:b w:val="false"/>
          <w:color w:val="000000"/>
          <w:sz w:val="22"/>
        </w:rPr>
        <w:t>means any release, spill, emission, discharge, deposit, disposal, leaking, pumping, pouring, dumping, emptying, injection or leaching into the Environment, or into, from or through any building, structure or facility.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Relevant Rate</w:t>
      </w:r>
      <w:r>
        <w:rPr>
          <w:color w:val="000000"/>
        </w:rPr>
        <w:t xml:space="preserve">” </w:t>
      </w:r>
      <w:r>
        <w:rPr>
          <w:rFonts w:ascii="Times New Roman;serif" w:hAnsi="Times New Roman;serif"/>
          <w:b w:val="false"/>
          <w:color w:val="000000"/>
          <w:sz w:val="22"/>
        </w:rPr>
        <w:t xml:space="preserve">means with respect to any Credit Extension denominated in (a) Dollars, SOFR, (b) Sterling, SONIA, (c) Swiss Francs, SARON, (d) Euros, EURIBOR, (e) Canadian Dollars, CORRA, as applicable, and, in each case, if such rate is replaced pursuant to </w:t>
      </w:r>
      <w:r>
        <w:rPr>
          <w:rFonts w:ascii="Times New Roman;serif" w:hAnsi="Times New Roman;serif"/>
          <w:b w:val="false"/>
          <w:color w:val="000000"/>
          <w:sz w:val="22"/>
          <w:u w:val="single"/>
        </w:rPr>
        <w:t>Section 3.03</w:t>
      </w:r>
      <w:r>
        <w:rPr>
          <w:rFonts w:ascii="Times New Roman;serif" w:hAnsi="Times New Roman;serif"/>
          <w:b w:val="false"/>
          <w:color w:val="000000"/>
          <w:sz w:val="22"/>
        </w:rPr>
        <w:t>, any replacement rate in respect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Reportable Event</w:t>
      </w:r>
      <w:r>
        <w:rPr>
          <w:color w:val="000000"/>
        </w:rPr>
        <w:t xml:space="preserve">” </w:t>
      </w:r>
      <w:r>
        <w:rPr>
          <w:rFonts w:ascii="Times New Roman;serif" w:hAnsi="Times New Roman;serif"/>
          <w:b w:val="false"/>
          <w:color w:val="000000"/>
          <w:sz w:val="22"/>
        </w:rPr>
        <w:t>means any of the events set forth in Section 4043(c) of ERISA, other than events for which the thirty (30) day notice period has been waived.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Request for Credit Extension</w:t>
      </w:r>
      <w:r>
        <w:rPr>
          <w:color w:val="000000"/>
        </w:rPr>
        <w:t xml:space="preserve">” </w:t>
      </w:r>
      <w:r>
        <w:rPr>
          <w:rFonts w:ascii="Times New Roman;serif" w:hAnsi="Times New Roman;serif"/>
          <w:b w:val="false"/>
          <w:color w:val="000000"/>
          <w:sz w:val="22"/>
        </w:rPr>
        <w:t>means (a) with respect to a Borrowing, conversion or continuation of Term Loans or Revolving Loans, a Loan Notice, (b) with respect to an L/C Credit Extension, a Letter of Credit Application, and (c) with respect to a Swingline Loan, a Swingline Loan Notice.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Required Class Lenders</w:t>
      </w:r>
      <w:r>
        <w:rPr>
          <w:color w:val="000000"/>
        </w:rPr>
        <w:t xml:space="preserve">” </w:t>
      </w:r>
      <w:r>
        <w:rPr>
          <w:rFonts w:ascii="Times New Roman;serif" w:hAnsi="Times New Roman;serif"/>
          <w:b w:val="false"/>
          <w:color w:val="000000"/>
          <w:sz w:val="22"/>
        </w:rPr>
        <w:t>means, at any time with respect to any Class of Loans or Commitments, Lenders having Total Credit Exposures with respect to such Class representing more than 50% of the Total Credit Exposures of all Lenders of such Class. The Total Credit Exposure of any Defaulting Lender with respect to such Class shall be disregarded in determining Required Class Lenders at any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Required Lenders</w:t>
      </w:r>
      <w:r>
        <w:rPr>
          <w:color w:val="000000"/>
        </w:rPr>
        <w:t xml:space="preserve">” </w:t>
      </w:r>
      <w:r>
        <w:rPr>
          <w:rFonts w:ascii="Times New Roman;serif" w:hAnsi="Times New Roman;serif"/>
          <w:b w:val="false"/>
          <w:color w:val="000000"/>
          <w:sz w:val="22"/>
        </w:rPr>
        <w:t xml:space="preserve">means, at any time, Lenders having Total Credit Exposures representing more than 50% of the Total Credit Exposures of all Lenders at such time. The Total Credit Exposure of any Defaulting Lender shall be disregarded in determining Required Lenders at any time;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amount of any participation in any Swingline Loan and Unreimbursed Amounts that such Defaulting Lender has failed to fund that have not been reallocated to and funded by another Lender shall be deemed to be held by the Lender that is the Swingline Lender or the applicable L/C Issuer, as the case may be, in making such determination; provided further, that this definition is subject to Section 3.03.</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Required Revolving Lenders</w:t>
      </w:r>
      <w:r>
        <w:rPr>
          <w:color w:val="000000"/>
        </w:rPr>
        <w:t xml:space="preserve">” </w:t>
      </w:r>
      <w:r>
        <w:rPr>
          <w:rFonts w:ascii="Times New Roman;serif" w:hAnsi="Times New Roman;serif"/>
          <w:b w:val="false"/>
          <w:color w:val="000000"/>
          <w:sz w:val="22"/>
        </w:rPr>
        <w:t xml:space="preserve">means, at any time, Revolving Lenders having Total Revolving Exposures representing more than 50% of the Total Revolving Exposures of all Revolving Lenders at such time. The Total Revolving Exposure of any Defaulting Lender shall be disregarded in determining Required Revolving Lenders at any time;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amount of any participation in any Swingline Loan and Unreimbursed Amounts that such Defaulting Lender has failed to fund that have not been reallocated to and funded by another Lender shall be deemed to be held by the Revolving Lender that is the Swingline Lender or the applicable L/C Issuer, as the case may be, in making such determination; provided further, that this definition is subject to Section 3.03.</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Required Term Lenders</w:t>
      </w:r>
      <w:r>
        <w:rPr>
          <w:color w:val="000000"/>
        </w:rPr>
        <w:t xml:space="preserve">” </w:t>
      </w:r>
      <w:r>
        <w:rPr>
          <w:rFonts w:ascii="Times New Roman;serif" w:hAnsi="Times New Roman;serif"/>
          <w:b w:val="false"/>
          <w:color w:val="000000"/>
          <w:sz w:val="22"/>
        </w:rPr>
        <w:t>means, at any time, Term Lenders having Total Term Credit Exposures representing more than 50% of the Total Term Credit Exposures of all Term Lenders. The Total Term Credit Exposure of any Defaulting Lender shall be disregarded in determining Required Term Lenders at any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Rescindable Amount</w:t>
      </w:r>
      <w:r>
        <w:rPr>
          <w:color w:val="000000"/>
        </w:rPr>
        <w:t xml:space="preserve">” </w:t>
      </w:r>
      <w:r>
        <w:rPr>
          <w:rFonts w:ascii="Times New Roman;serif" w:hAnsi="Times New Roman;serif"/>
          <w:b w:val="false"/>
          <w:color w:val="000000"/>
          <w:sz w:val="22"/>
        </w:rPr>
        <w:t xml:space="preserve">has the meaning as specified in </w:t>
      </w:r>
      <w:r>
        <w:rPr>
          <w:rFonts w:ascii="Times New Roman;serif" w:hAnsi="Times New Roman;serif"/>
          <w:b w:val="false"/>
          <w:color w:val="000000"/>
          <w:sz w:val="22"/>
          <w:u w:val="single"/>
        </w:rPr>
        <w:t>Section 2.12(b)(ii)</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85445"/>
                <wp:effectExtent l="0" t="0" r="0" b="0"/>
                <wp:wrapNone/>
                <wp:docPr id="71" name="Frame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Resignation Effective Date</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9.06(a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Resolution Authority</w:t>
      </w:r>
      <w:r>
        <w:rPr>
          <w:color w:val="000000"/>
        </w:rPr>
        <w:t xml:space="preserve">” </w:t>
      </w:r>
      <w:r>
        <w:rPr>
          <w:rFonts w:ascii="Times New Roman;serif" w:hAnsi="Times New Roman;serif"/>
          <w:b w:val="false"/>
          <w:color w:val="000000"/>
          <w:sz w:val="22"/>
        </w:rPr>
        <w:t xml:space="preserve">means an EEA Resolution Authority or, with respect to any UK Financial Institution, a UK Resolution Authority.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Responsible Officer</w:t>
      </w:r>
      <w:r>
        <w:rPr>
          <w:color w:val="000000"/>
        </w:rPr>
        <w:t xml:space="preserve">” </w:t>
      </w:r>
      <w:r>
        <w:rPr>
          <w:rFonts w:ascii="Times New Roman;serif" w:hAnsi="Times New Roman;serif"/>
          <w:b w:val="false"/>
          <w:color w:val="000000"/>
          <w:sz w:val="22"/>
        </w:rPr>
        <w:t xml:space="preserve">means the chief executive officer, president, chief financial officer, treasurer, assistant treasurer or controller of a Loan Party, solely for purposes of the delivery of incumbency certificates pursuant to </w:t>
      </w:r>
      <w:r>
        <w:rPr>
          <w:rFonts w:ascii="Times New Roman;serif" w:hAnsi="Times New Roman;serif"/>
          <w:b w:val="false"/>
          <w:color w:val="000000"/>
          <w:sz w:val="22"/>
          <w:u w:val="single"/>
        </w:rPr>
        <w:t>Section 4.01(b</w:t>
      </w:r>
      <w:r>
        <w:rPr>
          <w:rFonts w:ascii="Times New Roman;serif" w:hAnsi="Times New Roman;serif"/>
          <w:b w:val="false"/>
          <w:color w:val="000000"/>
          <w:sz w:val="22"/>
        </w:rPr>
        <w:t xml:space="preserve">), the secretary or any assistant secretary of a Loan Party and, solely for purposes of notices given pursuant to </w:t>
      </w:r>
      <w:r>
        <w:rPr>
          <w:rFonts w:ascii="Times New Roman;serif" w:hAnsi="Times New Roman;serif"/>
          <w:b w:val="false"/>
          <w:color w:val="000000"/>
          <w:sz w:val="22"/>
          <w:u w:val="single"/>
        </w:rPr>
        <w:t>Article II</w:t>
      </w:r>
      <w:r>
        <w:rPr>
          <w:rFonts w:ascii="Times New Roman;serif" w:hAnsi="Times New Roman;serif"/>
          <w:b w:val="false"/>
          <w:color w:val="000000"/>
          <w:sz w:val="22"/>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To the extent requested by the Administrative Agent, each Responsible Officer will provide an incumbency certificate and to the extent requested by the Administrative Agent, appropriate authorization documentation, in form and substance satisfactory to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Restricted Payment</w:t>
      </w:r>
      <w:r>
        <w:rPr>
          <w:color w:val="000000"/>
        </w:rPr>
        <w:t xml:space="preserve">” </w:t>
      </w:r>
      <w:r>
        <w:rPr>
          <w:rFonts w:ascii="Times New Roman;serif" w:hAnsi="Times New Roman;serif"/>
          <w:b w:val="false"/>
          <w:color w:val="000000"/>
          <w:sz w:val="22"/>
        </w:rPr>
        <w:t xml:space="preserve">means (a) any dividend or other distribution, direct or indirect, on account of any shares (or equivalent) of any class of Equity Interests of the Company or any of its Subsidiaries, now or hereafter outstanding, (b) any redemption, retirement, sinking fund or similar payment, purchase or other acquisition for value, direct or indirect, of any shares (or equivalent) of any class of Equity Interests of the Company or any of its Subsidiaries, now or hereafter outstanding, and (c) any payment made to retire, or to obtain the surrender of, any outstanding warrants, options or other rights to acquire shares of any class of Equity Interests of any Loan Party or any of its Subsidiaries, now or hereafter outstanding.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Revaluation Date</w:t>
      </w:r>
      <w:r>
        <w:rPr>
          <w:color w:val="000000"/>
        </w:rPr>
        <w:t xml:space="preserve">” </w:t>
      </w:r>
      <w:r>
        <w:rPr>
          <w:rFonts w:ascii="Times New Roman;serif" w:hAnsi="Times New Roman;serif"/>
          <w:b w:val="false"/>
          <w:color w:val="000000"/>
          <w:sz w:val="22"/>
        </w:rPr>
        <w:t xml:space="preserve">means (a) with respect to any Loan, each of the following: (i) each date of a Borrowing of an Alternative Currency Term Rate Loan, (ii) with respect to an Alternative Currency Daily Rate Loan, each Interest Payment Date, (iii) each date of a continuation of an Alternative Currency Term Rate Loan pursuant to </w:t>
      </w:r>
      <w:r>
        <w:rPr>
          <w:rFonts w:ascii="Times New Roman;serif" w:hAnsi="Times New Roman;serif"/>
          <w:b w:val="false"/>
          <w:color w:val="000000"/>
          <w:sz w:val="22"/>
          <w:u w:val="single"/>
        </w:rPr>
        <w:t>Section 2.02</w:t>
      </w:r>
      <w:r>
        <w:rPr>
          <w:rFonts w:ascii="Times New Roman;serif" w:hAnsi="Times New Roman;serif"/>
          <w:b w:val="false"/>
          <w:color w:val="000000"/>
          <w:sz w:val="22"/>
        </w:rPr>
        <w:t>, and (iv) such additional dates as the Administrative Agent shall determine or the Required Lenders shall require; and (b) with respect to any Letter of Credit, each of the following: (i) each date of issuance, amendment and/or extension of a Letter of Credit denominated in an Alternative Currency, (ii) each date of any payment by the applicable L/C Issuer under any Letter of Credit denominated in an Alternative Currency, (iii) in the case of all Existing Letters of Credit denominated in Alternative Currencies, the Closing Date, and (iv) such additional dates as the Administrative Agent or the applicable L/C Issuer shall determine or the Required Lenders shall require.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Revolving Borrowing</w:t>
      </w:r>
      <w:r>
        <w:rPr>
          <w:color w:val="000000"/>
        </w:rPr>
        <w:t xml:space="preserve">” </w:t>
      </w:r>
      <w:r>
        <w:rPr>
          <w:rFonts w:ascii="Times New Roman;serif" w:hAnsi="Times New Roman;serif"/>
          <w:b w:val="false"/>
          <w:color w:val="000000"/>
          <w:sz w:val="22"/>
        </w:rPr>
        <w:t xml:space="preserve">means a borrowing consisting of simultaneous Revolving Loans of the same Type and, in the case of Term SOFR Loans or Alternative Currency Term Rate Loans, having the same Interest Period made by each of the Revolving Lenders pursuant to </w:t>
      </w:r>
      <w:r>
        <w:rPr>
          <w:rFonts w:ascii="Times New Roman;serif" w:hAnsi="Times New Roman;serif"/>
          <w:b w:val="false"/>
          <w:color w:val="000000"/>
          <w:sz w:val="22"/>
          <w:u w:val="single"/>
        </w:rPr>
        <w:t>Section 2.01(b)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Revolving Commitment</w:t>
      </w:r>
      <w:r>
        <w:rPr>
          <w:color w:val="000000"/>
        </w:rPr>
        <w:t xml:space="preserve">” </w:t>
      </w:r>
      <w:r>
        <w:rPr>
          <w:rFonts w:ascii="Times New Roman;serif" w:hAnsi="Times New Roman;serif"/>
          <w:b w:val="false"/>
          <w:color w:val="000000"/>
          <w:sz w:val="22"/>
        </w:rPr>
        <w:t xml:space="preserve">means, as to each Revolving Lender, its obligation to (a) make Revolving Loans to any Borrower pursuant to </w:t>
      </w:r>
      <w:r>
        <w:rPr>
          <w:rFonts w:ascii="Times New Roman;serif" w:hAnsi="Times New Roman;serif"/>
          <w:b w:val="false"/>
          <w:color w:val="000000"/>
          <w:sz w:val="22"/>
          <w:u w:val="single"/>
        </w:rPr>
        <w:t>Section 2.01(b)</w:t>
      </w:r>
      <w:r>
        <w:rPr>
          <w:rFonts w:ascii="Times New Roman;serif" w:hAnsi="Times New Roman;serif"/>
          <w:b w:val="false"/>
          <w:color w:val="000000"/>
          <w:sz w:val="22"/>
        </w:rPr>
        <w:t xml:space="preserve">, (b) purchase participations in L/C Obligations, and (c) purchase participations in Swingline Loans, in an aggregate principal amount at any one time outstanding not to exceed the amount set forth opposite such Lender’s name on </w:t>
      </w:r>
      <w:r>
        <w:rPr>
          <w:rFonts w:ascii="Times New Roman;serif" w:hAnsi="Times New Roman;serif"/>
          <w:b w:val="false"/>
          <w:color w:val="000000"/>
          <w:sz w:val="22"/>
          <w:u w:val="single"/>
        </w:rPr>
        <w:t>Schedule 1.01(b</w:t>
      </w:r>
      <w:r>
        <w:rPr>
          <w:rFonts w:ascii="Times New Roman;serif" w:hAnsi="Times New Roman;serif"/>
          <w:b w:val="false"/>
          <w:color w:val="000000"/>
          <w:sz w:val="22"/>
        </w:rPr>
        <w:t xml:space="preserve">) under the caption “Revolving Commitment” or opposite such caption in the Assignment and Assumption pursuant to which such Lender becomes a party hereto, as applicable, as such amount may be adjusted from time to time in accordance with this Agreement;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for all purposes of this Agreement (other than determining the unused Revolving Commitments in connection with the definition of Required Lenders), (i) the aggregate Revolving Commitments shall be deemed to be $250,000,000 (the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85445"/>
                <wp:effectExtent l="0" t="0" r="0" b="0"/>
                <wp:wrapNone/>
                <wp:docPr id="72" name="Frame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Seasonal Decrease Amount</w:t>
      </w:r>
      <w:r>
        <w:rPr>
          <w:color w:val="000000"/>
        </w:rPr>
        <w:t>”</w:t>
      </w:r>
      <w:r>
        <w:rPr>
          <w:rFonts w:ascii="Times New Roman;serif" w:hAnsi="Times New Roman;serif"/>
          <w:b w:val="false"/>
          <w:color w:val="000000"/>
          <w:sz w:val="22"/>
        </w:rPr>
        <w:t>) for each date during the Seasonal Decrease Period and (ii) the aggregate Revolving Commitments shall be equal to $325,000,000 (the “</w:t>
      </w:r>
      <w:r>
        <w:rPr>
          <w:rFonts w:ascii="Times New Roman;serif" w:hAnsi="Times New Roman;serif"/>
          <w:b w:val="false"/>
          <w:color w:val="000000"/>
          <w:sz w:val="22"/>
          <w:u w:val="single"/>
        </w:rPr>
        <w:t>Seasonal Increase Amount</w:t>
      </w:r>
      <w:r>
        <w:rPr>
          <w:color w:val="000000"/>
        </w:rPr>
        <w:t>”</w:t>
      </w:r>
      <w:r>
        <w:rPr>
          <w:rFonts w:ascii="Times New Roman;serif" w:hAnsi="Times New Roman;serif"/>
          <w:b w:val="false"/>
          <w:color w:val="000000"/>
          <w:sz w:val="22"/>
        </w:rPr>
        <w:t>) for each date during the Seasonal Increase Period. For the avoidance of doubt, if the aggregate Revolving Commitments are increased pursuant to Section 2.19 hereof, (i) the Seasonal Increase Amount shall be increased by the aggregate amount of such increase and (ii) the Company and Administrative Agent shall agree as to whether the Seasonal Decrease Amount shall be deemed to be increased and, if increased, the amount of such increase.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Revolving Exposure</w:t>
      </w:r>
      <w:r>
        <w:rPr>
          <w:color w:val="000000"/>
        </w:rPr>
        <w:t xml:space="preserve">” </w:t>
      </w:r>
      <w:r>
        <w:rPr>
          <w:rFonts w:ascii="Times New Roman;serif" w:hAnsi="Times New Roman;serif"/>
          <w:b w:val="false"/>
          <w:color w:val="000000"/>
          <w:sz w:val="22"/>
        </w:rPr>
        <w:t>means, as to any Lender at any time, the aggregate principal amount at such time of its outstanding Revolving Loans and such Lender’s participation in L/C Obligations and Swingline Loans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Revolving Facility</w:t>
      </w:r>
      <w:r>
        <w:rPr>
          <w:color w:val="000000"/>
        </w:rPr>
        <w:t xml:space="preserve">” </w:t>
      </w:r>
      <w:r>
        <w:rPr>
          <w:rFonts w:ascii="Times New Roman;serif" w:hAnsi="Times New Roman;serif"/>
          <w:b w:val="false"/>
          <w:color w:val="000000"/>
          <w:sz w:val="22"/>
        </w:rPr>
        <w:t>means, at any time, the aggregate amount of the Revolving Lenders’ Revolving Commitments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Revolving Lender</w:t>
      </w:r>
      <w:r>
        <w:rPr>
          <w:color w:val="000000"/>
        </w:rPr>
        <w:t xml:space="preserve">” </w:t>
      </w:r>
      <w:r>
        <w:rPr>
          <w:rFonts w:ascii="Times New Roman;serif" w:hAnsi="Times New Roman;serif"/>
          <w:b w:val="false"/>
          <w:color w:val="000000"/>
          <w:sz w:val="22"/>
        </w:rPr>
        <w:t>means, at any time, (a) so long as any Revolving Commitment is in effect, any Lender that has a Revolving Commitment at such time or (b) if the Revolving Commitments have terminated or expired, any Lender that has a Revolving Loan or a participation in L/C Obligations or Swingline Loans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Revolving Loan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2.01(b)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Revolving Note</w:t>
      </w:r>
      <w:r>
        <w:rPr>
          <w:color w:val="000000"/>
        </w:rPr>
        <w:t xml:space="preserve">” </w:t>
      </w:r>
      <w:r>
        <w:rPr>
          <w:rFonts w:ascii="Times New Roman;serif" w:hAnsi="Times New Roman;serif"/>
          <w:b w:val="false"/>
          <w:color w:val="000000"/>
          <w:sz w:val="22"/>
        </w:rPr>
        <w:t xml:space="preserve">means a promissory note made by each Borrower in favor of a Revolving Lender evidencing Revolving Loans or Swingline Loans, as the case may be, made by such Revolving Lender, substantially in the form of </w:t>
      </w:r>
      <w:r>
        <w:rPr>
          <w:rFonts w:ascii="Times New Roman;serif" w:hAnsi="Times New Roman;serif"/>
          <w:b w:val="false"/>
          <w:color w:val="000000"/>
          <w:sz w:val="22"/>
          <w:u w:val="single"/>
        </w:rPr>
        <w:t>Exhibit G</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S&amp;P</w:t>
      </w:r>
      <w:r>
        <w:rPr>
          <w:color w:val="000000"/>
        </w:rPr>
        <w:t xml:space="preserve">” </w:t>
      </w:r>
      <w:r>
        <w:rPr>
          <w:rFonts w:ascii="Times New Roman;serif" w:hAnsi="Times New Roman;serif"/>
          <w:b w:val="false"/>
          <w:color w:val="000000"/>
          <w:sz w:val="22"/>
        </w:rPr>
        <w:t>means Standard &amp; Poor’s Financial Services LLC, a subsidiary of S&amp;P Global Inc., and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Sale and Leaseback Transaction</w:t>
      </w:r>
      <w:r>
        <w:rPr>
          <w:color w:val="000000"/>
        </w:rPr>
        <w:t xml:space="preserve">” </w:t>
      </w:r>
      <w:r>
        <w:rPr>
          <w:rFonts w:ascii="Times New Roman;serif" w:hAnsi="Times New Roman;serif"/>
          <w:b w:val="false"/>
          <w:color w:val="000000"/>
          <w:sz w:val="22"/>
        </w:rPr>
        <w:t>means, with respect to any Loan Party or any Subsidiary, any arrangement, directly or indirectly, with any Person whereby such Loan Party or such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Same Day Funds</w:t>
      </w:r>
      <w:r>
        <w:rPr>
          <w:color w:val="000000"/>
        </w:rPr>
        <w:t xml:space="preserve">” </w:t>
      </w:r>
      <w:r>
        <w:rPr>
          <w:rFonts w:ascii="Times New Roman;serif" w:hAnsi="Times New Roman;serif"/>
          <w:b w:val="false"/>
          <w:color w:val="000000"/>
          <w:sz w:val="22"/>
        </w:rPr>
        <w:t>means (a) with respect to disbursements and payments in Dollars, immediately available funds, and (b) with respect to disbursements and payments in an Alternative Currency, same day or other funds as may be determined by the Administrative Agent or the L/C Issuers, as the case may be, to be customary in the place of disbursement or payment for the settlement of international banking transactions in the relevant Alternative Currency.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Sanction</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s</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means any sanction administered or enforced by the United States Government (including, without limitation, OFAC), the Government of Canada (including Global Affairs Canada and Public Safety Canada), the United Nations Security Council, the European Union, His Majesty’s Treasury (“</w:t>
      </w:r>
      <w:r>
        <w:rPr>
          <w:rFonts w:ascii="Times New Roman;serif" w:hAnsi="Times New Roman;serif"/>
          <w:b w:val="false"/>
          <w:i/>
          <w:color w:val="000000"/>
          <w:sz w:val="22"/>
          <w:u w:val="single"/>
        </w:rPr>
        <w:t>HMT</w:t>
      </w:r>
      <w:r>
        <w:rPr>
          <w:color w:val="000000"/>
        </w:rPr>
        <w:t>”</w:t>
      </w:r>
      <w:r>
        <w:rPr>
          <w:rFonts w:ascii="Times New Roman;serif" w:hAnsi="Times New Roman;serif"/>
          <w:b w:val="false"/>
          <w:color w:val="000000"/>
          <w:sz w:val="22"/>
        </w:rPr>
        <w:t>) or other relevant sanctions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SARON</w:t>
      </w:r>
      <w:r>
        <w:rPr>
          <w:color w:val="000000"/>
        </w:rPr>
        <w:t xml:space="preserve">” </w:t>
      </w:r>
      <w:r>
        <w:rPr>
          <w:rFonts w:ascii="Times New Roman;serif" w:hAnsi="Times New Roman;serif"/>
          <w:b w:val="false"/>
          <w:color w:val="000000"/>
          <w:sz w:val="22"/>
        </w:rPr>
        <w:t xml:space="preserve">means, with respect to any applicable determination date, the Swiss Average Rate Overnight published on the fifth Business Day preceding such date on the applicable Reuters screen page (or such other commercially available source providing such quotations as may be designated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85445"/>
                <wp:effectExtent l="0" t="0" r="0" b="0"/>
                <wp:wrapNone/>
                <wp:docPr id="73" name="Frame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Administrative Agent from time to time);  provided however that if such determination date is not a Business Day, SARON means such rate that applied on the first Business Day immediately prior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SARON Adjustment</w:t>
      </w:r>
      <w:r>
        <w:rPr>
          <w:color w:val="000000"/>
        </w:rPr>
        <w:t xml:space="preserve">” </w:t>
      </w:r>
      <w:r>
        <w:rPr>
          <w:rFonts w:ascii="Times New Roman;serif" w:hAnsi="Times New Roman;serif"/>
          <w:b w:val="false"/>
          <w:color w:val="000000"/>
          <w:sz w:val="22"/>
        </w:rPr>
        <w:t xml:space="preserve">means, with respect to SARON, -0.0571% per annum.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Scheduled Unavailability Date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3.03(c)</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Seasonal Decrease Amount</w:t>
      </w:r>
      <w:r>
        <w:rPr>
          <w:color w:val="000000"/>
        </w:rPr>
        <w:t xml:space="preserve">” </w:t>
      </w:r>
      <w:r>
        <w:rPr>
          <w:rFonts w:ascii="Times New Roman;serif" w:hAnsi="Times New Roman;serif"/>
          <w:b w:val="false"/>
          <w:color w:val="000000"/>
          <w:sz w:val="22"/>
        </w:rPr>
        <w:t xml:space="preserve">has the meaning specified in the definition of “Revolving Commitment”.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Seasonal Decrease Period</w:t>
      </w:r>
      <w:r>
        <w:rPr>
          <w:color w:val="000000"/>
        </w:rPr>
        <w:t xml:space="preserve">” </w:t>
      </w:r>
      <w:r>
        <w:rPr>
          <w:rFonts w:ascii="Times New Roman;serif" w:hAnsi="Times New Roman;serif"/>
          <w:b w:val="false"/>
          <w:color w:val="000000"/>
          <w:sz w:val="22"/>
        </w:rPr>
        <w:t xml:space="preserve">means the period from July 16 through January 15 of each calendar year,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Company may elect, in its sole discretion, to not reduce the aggregate Revolving Commitments during the entire Seasonal Decrease Period of such fiscal year to the Seasonal Decrease Amount by giving the Administrative Agent a written notice, in form and substance reasonably satisfactory to the Administrative Agent, of such election not later than the tenth (10</w:t>
      </w:r>
      <w:r>
        <w:rPr>
          <w:rFonts w:ascii="Times New Roman;serif" w:hAnsi="Times New Roman;serif"/>
          <w:b w:val="false"/>
          <w:color w:val="000000"/>
          <w:sz w:val="14"/>
        </w:rPr>
        <w:t>th</w:t>
      </w:r>
      <w:r>
        <w:rPr>
          <w:rFonts w:ascii="Times New Roman;serif" w:hAnsi="Times New Roman;serif"/>
          <w:b w:val="false"/>
          <w:color w:val="000000"/>
          <w:sz w:val="22"/>
        </w:rPr>
        <w:t>) Business Day preceding the scheduled beginning of such Seasonal Decrease Period.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Seasonal Increase Amount</w:t>
      </w:r>
      <w:r>
        <w:rPr>
          <w:color w:val="000000"/>
        </w:rPr>
        <w:t xml:space="preserve">” </w:t>
      </w:r>
      <w:r>
        <w:rPr>
          <w:rFonts w:ascii="Times New Roman;serif" w:hAnsi="Times New Roman;serif"/>
          <w:b w:val="false"/>
          <w:color w:val="000000"/>
          <w:sz w:val="22"/>
        </w:rPr>
        <w:t xml:space="preserve">has the meaning specified in the definition of “Revolving Commitment”.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Seasonal Increase Period</w:t>
      </w:r>
      <w:r>
        <w:rPr>
          <w:color w:val="000000"/>
        </w:rPr>
        <w:t xml:space="preserve">” </w:t>
      </w:r>
      <w:r>
        <w:rPr>
          <w:rFonts w:ascii="Times New Roman;serif" w:hAnsi="Times New Roman;serif"/>
          <w:b w:val="false"/>
          <w:color w:val="000000"/>
          <w:sz w:val="22"/>
        </w:rPr>
        <w:t>means the period from January 16 to July 15 of each calendar year, provided that, the Company may elect, in its sole discretion, to not increase the aggregate Revolving Commitments during the entire Seasonal Increase Period of such fiscal year to the Seasonal Increase Amount by giving the Administrative Agent a written notice, in form and substance reasonably satisfactory to the Administrative Agent, of such election not later than the tenth (10</w:t>
      </w:r>
      <w:r>
        <w:rPr>
          <w:rFonts w:ascii="Times New Roman;serif" w:hAnsi="Times New Roman;serif"/>
          <w:b w:val="false"/>
          <w:color w:val="000000"/>
          <w:sz w:val="14"/>
        </w:rPr>
        <w:t>th</w:t>
      </w:r>
      <w:r>
        <w:rPr>
          <w:rFonts w:ascii="Times New Roman;serif" w:hAnsi="Times New Roman;serif"/>
          <w:b w:val="false"/>
          <w:color w:val="000000"/>
          <w:sz w:val="22"/>
        </w:rPr>
        <w:t xml:space="preserve">) Business Day preceding the scheduled beginning of such Seasonal Increase Period.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SEC</w:t>
      </w:r>
      <w:r>
        <w:rPr>
          <w:color w:val="000000"/>
        </w:rPr>
        <w:t xml:space="preserve">” </w:t>
      </w:r>
      <w:r>
        <w:rPr>
          <w:rFonts w:ascii="Times New Roman;serif" w:hAnsi="Times New Roman;serif"/>
          <w:b w:val="false"/>
          <w:color w:val="000000"/>
          <w:sz w:val="22"/>
        </w:rPr>
        <w:t>means the Securities and Exchange Commission, or any Governmental Authority succeeding to any of its principal functions.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Shareholders</w:t>
      </w:r>
      <w:r>
        <w:rPr>
          <w:color w:val="000000"/>
          <w:u w:val="single"/>
        </w:rPr>
        <w:t xml:space="preserve">’ </w:t>
      </w:r>
      <w:r>
        <w:rPr>
          <w:rFonts w:ascii="Times New Roman;serif" w:hAnsi="Times New Roman;serif"/>
          <w:b w:val="false"/>
          <w:i/>
          <w:color w:val="000000"/>
          <w:sz w:val="22"/>
          <w:u w:val="single"/>
        </w:rPr>
        <w:t>Equity</w:t>
      </w:r>
      <w:r>
        <w:rPr>
          <w:color w:val="000000"/>
        </w:rPr>
        <w:t xml:space="preserve">” </w:t>
      </w:r>
      <w:r>
        <w:rPr>
          <w:rFonts w:ascii="Times New Roman;serif" w:hAnsi="Times New Roman;serif"/>
          <w:b w:val="false"/>
          <w:color w:val="000000"/>
          <w:sz w:val="22"/>
        </w:rPr>
        <w:t>means, as of any date of determination, consolidated shareholders’ equity of the Company and its Subsidiaries as of such date, determined in accordance with GAAP.</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SOFR</w:t>
      </w:r>
      <w:r>
        <w:rPr>
          <w:color w:val="000000"/>
        </w:rPr>
        <w:t xml:space="preserve">” </w:t>
      </w:r>
      <w:r>
        <w:rPr>
          <w:rFonts w:ascii="Times New Roman;serif" w:hAnsi="Times New Roman;serif"/>
          <w:b w:val="false"/>
          <w:color w:val="000000"/>
          <w:sz w:val="22"/>
        </w:rPr>
        <w:t>means the Secured Overnight Financing Rate as administered by the Federal Reserve Bank of New York (or a successor administrator).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SOFR Administrator</w:t>
      </w:r>
      <w:r>
        <w:rPr>
          <w:color w:val="000000"/>
        </w:rPr>
        <w:t xml:space="preserve">” </w:t>
      </w:r>
      <w:r>
        <w:rPr>
          <w:rFonts w:ascii="Times New Roman;serif" w:hAnsi="Times New Roman;serif"/>
          <w:b w:val="false"/>
          <w:color w:val="000000"/>
          <w:sz w:val="22"/>
        </w:rPr>
        <w:t>means the Federal Reserve Bank of New York, as the administrator of SOFR, or any successor administrator of SOFR designated by the Federal Reserve Bank of New York or other Person acting as the SOFR Administrator at such time that is satisfactory to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SOFR Scheduled Unavailability Date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3.03(b)</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SOFR Successor Rate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3.03(b)</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Solvency Certificate</w:t>
      </w:r>
      <w:r>
        <w:rPr>
          <w:color w:val="000000"/>
        </w:rPr>
        <w:t xml:space="preserve">” </w:t>
      </w:r>
      <w:r>
        <w:rPr>
          <w:rFonts w:ascii="Times New Roman;serif" w:hAnsi="Times New Roman;serif"/>
          <w:b w:val="false"/>
          <w:color w:val="000000"/>
          <w:sz w:val="22"/>
        </w:rPr>
        <w:t xml:space="preserve">means a solvency certificate substantially in the form of </w:t>
      </w:r>
      <w:r>
        <w:rPr>
          <w:rFonts w:ascii="Times New Roman;serif" w:hAnsi="Times New Roman;serif"/>
          <w:b w:val="false"/>
          <w:color w:val="000000"/>
          <w:sz w:val="22"/>
          <w:u w:val="single"/>
        </w:rPr>
        <w:t>Exhibit H</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Solvent</w:t>
      </w:r>
      <w:r>
        <w:rPr>
          <w:color w:val="000000"/>
        </w:rPr>
        <w:t xml:space="preserve">” </w:t>
      </w:r>
      <w:r>
        <w:rPr>
          <w:rFonts w:ascii="Times New Roman;serif" w:hAnsi="Times New Roman;serif"/>
          <w:b w:val="false"/>
          <w:color w:val="000000"/>
          <w:sz w:val="22"/>
        </w:rPr>
        <w:t>and “</w:t>
      </w:r>
      <w:r>
        <w:rPr>
          <w:rFonts w:ascii="Times New Roman;serif" w:hAnsi="Times New Roman;serif"/>
          <w:b w:val="false"/>
          <w:i/>
          <w:color w:val="000000"/>
          <w:sz w:val="22"/>
          <w:u w:val="single"/>
        </w:rPr>
        <w:t>Solvency</w:t>
      </w:r>
      <w:r>
        <w:rPr>
          <w:color w:val="000000"/>
        </w:rPr>
        <w:t xml:space="preserve">” </w:t>
      </w:r>
      <w:r>
        <w:rPr>
          <w:rFonts w:ascii="Times New Roman;serif" w:hAnsi="Times New Roman;serif"/>
          <w:b w:val="false"/>
          <w:color w:val="000000"/>
          <w:sz w:val="22"/>
        </w:rPr>
        <w:t xml:space="preserve">mean, with respect to any Person or group of Persons taken together on a consolidated basis on any date of determination, that on such date (a) the fair value of the property of such Person or group is greater than the total amount of liabilities, including contingent liabilities,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85445"/>
                <wp:effectExtent l="0" t="0" r="0" b="0"/>
                <wp:wrapNone/>
                <wp:docPr id="74" name="Frame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Person or group, (b) the present fair saleable value of the assets of such Person or group is not less than the amount that will be required to pay the probable liability of such Person or group on its debts as they become absolute and matured, (c) such Person or group does not intend to, and does not believe that it will, incur debts or liabilities beyond such Person’s or group’s ability to pay such debts and liabilities as they mature, (d) such Person or group is not engaged in business or a transaction, and is not about to engage in business or a transaction, for which such Person’s or group’s property would constitute an unreasonably small capital, and (e) such Person or group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SONIA</w:t>
      </w:r>
      <w:r>
        <w:rPr>
          <w:color w:val="000000"/>
        </w:rPr>
        <w:t xml:space="preserve">” </w:t>
      </w:r>
      <w:r>
        <w:rPr>
          <w:rFonts w:ascii="Times New Roman;serif" w:hAnsi="Times New Roman;serif"/>
          <w:b w:val="false"/>
          <w:color w:val="000000"/>
          <w:sz w:val="22"/>
        </w:rPr>
        <w:t xml:space="preserve">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however that if such determination date is not a Business Day, SONIA means such rate that applied on the first Business Day immediately prior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SONIA Adjustment</w:t>
      </w:r>
      <w:r>
        <w:rPr>
          <w:color w:val="000000"/>
        </w:rPr>
        <w:t xml:space="preserve">” </w:t>
      </w:r>
      <w:r>
        <w:rPr>
          <w:rFonts w:ascii="Times New Roman;serif" w:hAnsi="Times New Roman;serif"/>
          <w:b w:val="false"/>
          <w:color w:val="000000"/>
          <w:sz w:val="22"/>
        </w:rPr>
        <w:t>means,</w:t>
      </w:r>
      <w:r>
        <w:rPr>
          <w:color w:val="000000"/>
        </w:rPr>
        <w:t xml:space="preserve"> </w:t>
      </w:r>
      <w:r>
        <w:rPr>
          <w:rFonts w:ascii="Times New Roman;serif" w:hAnsi="Times New Roman;serif"/>
          <w:b w:val="false"/>
          <w:color w:val="000000"/>
          <w:sz w:val="22"/>
        </w:rPr>
        <w:t>with respect to SONIA, 0.0326% per annum.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Special Notice Currency</w:t>
      </w:r>
      <w:r>
        <w:rPr>
          <w:color w:val="000000"/>
        </w:rPr>
        <w:t xml:space="preserve">” </w:t>
      </w:r>
      <w:r>
        <w:rPr>
          <w:rFonts w:ascii="Times New Roman;serif" w:hAnsi="Times New Roman;serif"/>
          <w:b w:val="false"/>
          <w:color w:val="000000"/>
          <w:sz w:val="22"/>
        </w:rPr>
        <w:t>means at any time an Alternative Currency, other than the currency of a country that is a member of the Organization for Economic Cooperation and Development at such time located in North America or Europe.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Specified Event of Default</w:t>
      </w:r>
      <w:r>
        <w:rPr>
          <w:color w:val="000000"/>
          <w:u w:val="single"/>
        </w:rPr>
        <w:t>”</w:t>
      </w:r>
      <w:r>
        <w:rPr>
          <w:color w:val="000000"/>
        </w:rPr>
        <w:t xml:space="preserve"> </w:t>
      </w:r>
      <w:r>
        <w:rPr>
          <w:rFonts w:ascii="Times New Roman;serif" w:hAnsi="Times New Roman;serif"/>
          <w:b w:val="false"/>
          <w:color w:val="000000"/>
          <w:sz w:val="22"/>
        </w:rPr>
        <w:t xml:space="preserve">means any Event of Default pursuant to </w:t>
      </w:r>
      <w:r>
        <w:rPr>
          <w:rFonts w:ascii="Times New Roman;serif" w:hAnsi="Times New Roman;serif"/>
          <w:b w:val="false"/>
          <w:color w:val="000000"/>
          <w:sz w:val="22"/>
          <w:u w:val="single"/>
        </w:rPr>
        <w:t>Section 8.01(a)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8.01(f)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8.01(g).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Specified Loan Party</w:t>
      </w:r>
      <w:r>
        <w:rPr>
          <w:color w:val="000000"/>
        </w:rPr>
        <w:t xml:space="preserve">” </w:t>
      </w:r>
      <w:r>
        <w:rPr>
          <w:rFonts w:ascii="Times New Roman;serif" w:hAnsi="Times New Roman;serif"/>
          <w:b w:val="false"/>
          <w:color w:val="000000"/>
          <w:sz w:val="22"/>
        </w:rPr>
        <w:t xml:space="preserve">means any Loan Party that is not then an “eligible contract participant” under the Commodity Exchange Act (determined prior to giving effect to </w:t>
      </w:r>
      <w:r>
        <w:rPr>
          <w:rFonts w:ascii="Times New Roman;serif" w:hAnsi="Times New Roman;serif"/>
          <w:b w:val="false"/>
          <w:color w:val="000000"/>
          <w:sz w:val="22"/>
          <w:u w:val="single"/>
        </w:rPr>
        <w:t>Section 10.11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Successor Rate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3.03(c)</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Sterling</w:t>
      </w:r>
      <w:r>
        <w:rPr>
          <w:color w:val="000000"/>
        </w:rPr>
        <w:t xml:space="preserve">” </w:t>
      </w:r>
      <w:r>
        <w:rPr>
          <w:rFonts w:ascii="Times New Roman;serif" w:hAnsi="Times New Roman;serif"/>
          <w:b w:val="false"/>
          <w:color w:val="000000"/>
          <w:sz w:val="22"/>
        </w:rPr>
        <w:t>and “</w:t>
      </w:r>
      <w:r>
        <w:rPr>
          <w:rFonts w:ascii="Times New Roman;serif" w:hAnsi="Times New Roman;serif"/>
          <w:b w:val="false"/>
          <w:i/>
          <w:color w:val="000000"/>
          <w:sz w:val="22"/>
          <w:u w:val="single"/>
        </w:rPr>
        <w:t>£</w:t>
      </w:r>
      <w:r>
        <w:rPr>
          <w:color w:val="000000"/>
        </w:rPr>
        <w:t xml:space="preserve">” </w:t>
      </w:r>
      <w:r>
        <w:rPr>
          <w:rFonts w:ascii="Times New Roman;serif" w:hAnsi="Times New Roman;serif"/>
          <w:b w:val="false"/>
          <w:color w:val="000000"/>
          <w:sz w:val="22"/>
        </w:rPr>
        <w:t>mean the lawful currency of the United Kingdom.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Subsidiary</w:t>
      </w:r>
      <w:r>
        <w:rPr>
          <w:color w:val="000000"/>
        </w:rPr>
        <w:t xml:space="preserve">” </w:t>
      </w:r>
      <w:r>
        <w:rPr>
          <w:rFonts w:ascii="Times New Roman;serif" w:hAnsi="Times New Roman;serif"/>
          <w:b w:val="false"/>
          <w:color w:val="000000"/>
          <w:sz w:val="22"/>
        </w:rPr>
        <w:t>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Supported QFC</w:t>
      </w:r>
      <w:r>
        <w:rPr>
          <w:color w:val="000000"/>
        </w:rPr>
        <w:t xml:space="preserve">” </w:t>
      </w:r>
      <w:r>
        <w:rPr>
          <w:rFonts w:ascii="Times New Roman;serif" w:hAnsi="Times New Roman;serif"/>
          <w:b w:val="false"/>
          <w:color w:val="000000"/>
          <w:sz w:val="22"/>
        </w:rPr>
        <w:t>has the meaning specified in Section 11.21.</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Swap Contract</w:t>
      </w:r>
      <w:r>
        <w:rPr>
          <w:color w:val="000000"/>
        </w:rPr>
        <w:t xml:space="preserve">” </w:t>
      </w:r>
      <w:r>
        <w:rPr>
          <w:rFonts w:ascii="Times New Roman;serif" w:hAnsi="Times New Roman;serif"/>
          <w:b w:val="false"/>
          <w:color w:val="000000"/>
          <w:sz w:val="22"/>
        </w:rPr>
        <w:t xml:space="preserve">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85445"/>
                <wp:effectExtent l="0" t="0" r="0" b="0"/>
                <wp:wrapNone/>
                <wp:docPr id="75" name="Frame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serif" w:hAnsi="Times New Roman;serif"/>
          <w:b w:val="false"/>
          <w:i/>
          <w:color w:val="000000"/>
          <w:sz w:val="22"/>
          <w:u w:val="single"/>
        </w:rPr>
        <w:t>Master Agreement</w:t>
      </w:r>
      <w:r>
        <w:rPr>
          <w:color w:val="000000"/>
        </w:rPr>
        <w:t>”</w:t>
      </w:r>
      <w:r>
        <w:rPr>
          <w:rFonts w:ascii="Times New Roman;serif" w:hAnsi="Times New Roman;serif"/>
          <w:b w:val="false"/>
          <w:color w:val="000000"/>
          <w:sz w:val="22"/>
        </w:rPr>
        <w:t>), including any such obligations or liabilities under any Master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Swap Obligations</w:t>
      </w:r>
      <w:r>
        <w:rPr>
          <w:color w:val="000000"/>
        </w:rPr>
        <w:t xml:space="preserve">” </w:t>
      </w:r>
      <w:r>
        <w:rPr>
          <w:rFonts w:ascii="Times New Roman;serif" w:hAnsi="Times New Roman;serif"/>
          <w:b w:val="false"/>
          <w:color w:val="000000"/>
          <w:sz w:val="22"/>
        </w:rPr>
        <w:t>means with respect to any Loan Party any obligation to pay or perform under any agreement, contract or transaction that constitutes a “swap” within the meaning of Section 1a(47) of the Commodity Exchange 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Swap Termination Value</w:t>
      </w:r>
      <w:r>
        <w:rPr>
          <w:color w:val="000000"/>
        </w:rPr>
        <w:t xml:space="preserve">” </w:t>
      </w:r>
      <w:r>
        <w:rPr>
          <w:rFonts w:ascii="Times New Roman;serif" w:hAnsi="Times New Roman;serif"/>
          <w:b w:val="false"/>
          <w:color w:val="000000"/>
          <w:sz w:val="22"/>
        </w:rPr>
        <w:t xml:space="preserve">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serif" w:hAnsi="Times New Roman;serif"/>
          <w:b w:val="false"/>
          <w:color w:val="000000"/>
          <w:sz w:val="22"/>
          <w:u w:val="single"/>
        </w:rPr>
        <w:t>clause (a)</w:t>
      </w:r>
      <w:r>
        <w:rPr>
          <w:rFonts w:ascii="Times New Roman;serif" w:hAnsi="Times New Roman;serif"/>
          <w:b w:val="false"/>
          <w:color w:val="000000"/>
          <w:sz w:val="22"/>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Swingline Borrowing</w:t>
      </w:r>
      <w:r>
        <w:rPr>
          <w:color w:val="000000"/>
        </w:rPr>
        <w:t xml:space="preserve">” </w:t>
      </w:r>
      <w:r>
        <w:rPr>
          <w:rFonts w:ascii="Times New Roman;serif" w:hAnsi="Times New Roman;serif"/>
          <w:b w:val="false"/>
          <w:color w:val="000000"/>
          <w:sz w:val="22"/>
        </w:rPr>
        <w:t xml:space="preserve">means a borrowing of a Swingline Loan pursuant to </w:t>
      </w:r>
      <w:r>
        <w:rPr>
          <w:rFonts w:ascii="Times New Roman;serif" w:hAnsi="Times New Roman;serif"/>
          <w:b w:val="false"/>
          <w:color w:val="000000"/>
          <w:sz w:val="22"/>
          <w:u w:val="single"/>
        </w:rPr>
        <w:t>Section 2.04</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Swingline Commitment</w:t>
      </w:r>
      <w:r>
        <w:rPr>
          <w:color w:val="000000"/>
        </w:rPr>
        <w:t xml:space="preserve">” </w:t>
      </w:r>
      <w:r>
        <w:rPr>
          <w:rFonts w:ascii="Times New Roman;serif" w:hAnsi="Times New Roman;serif"/>
          <w:b w:val="false"/>
          <w:color w:val="000000"/>
          <w:sz w:val="22"/>
        </w:rPr>
        <w:t xml:space="preserve">means, as to any Lender (a) the amount set forth opposite such Lender’s name on </w:t>
      </w:r>
      <w:r>
        <w:rPr>
          <w:rFonts w:ascii="Times New Roman;serif" w:hAnsi="Times New Roman;serif"/>
          <w:b w:val="false"/>
          <w:color w:val="000000"/>
          <w:sz w:val="22"/>
          <w:u w:val="single"/>
        </w:rPr>
        <w:t>Schedule 2.01</w:t>
      </w:r>
      <w:r>
        <w:rPr>
          <w:color w:val="000000"/>
        </w:rPr>
        <w:t xml:space="preserve"> </w:t>
      </w:r>
      <w:r>
        <w:rPr>
          <w:rFonts w:ascii="Times New Roman;serif" w:hAnsi="Times New Roman;serif"/>
          <w:b w:val="false"/>
          <w:color w:val="000000"/>
          <w:sz w:val="22"/>
        </w:rPr>
        <w:t xml:space="preserve">hereof or (b) if such Lender has entered into an Assignment and Assumption or has otherwise assumed a Swingline Commitment after the Closing Date, the amount set forth for such Lender as its Swingline Commitment in the Register maintained by the Administrative Agent pursuant to </w:t>
      </w:r>
      <w:r>
        <w:rPr>
          <w:rFonts w:ascii="Times New Roman;serif" w:hAnsi="Times New Roman;serif"/>
          <w:b w:val="false"/>
          <w:color w:val="000000"/>
          <w:sz w:val="22"/>
          <w:u w:val="single"/>
        </w:rPr>
        <w:t>Section 11.06(c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Swingline Lender</w:t>
      </w:r>
      <w:r>
        <w:rPr>
          <w:color w:val="000000"/>
        </w:rPr>
        <w:t xml:space="preserve">” </w:t>
      </w:r>
      <w:r>
        <w:rPr>
          <w:rFonts w:ascii="Times New Roman;serif" w:hAnsi="Times New Roman;serif"/>
          <w:b w:val="false"/>
          <w:color w:val="000000"/>
          <w:sz w:val="22"/>
        </w:rPr>
        <w:t>means Bank of America, through itself or through one of its designated Affiliates or branch offices, in its capacity as provider of Swingline Loans, or any successor swingline lender 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Swingline Loan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2.04(a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Swingline Loan Notice</w:t>
      </w:r>
      <w:r>
        <w:rPr>
          <w:color w:val="000000"/>
        </w:rPr>
        <w:t xml:space="preserve">” </w:t>
      </w:r>
      <w:r>
        <w:rPr>
          <w:rFonts w:ascii="Times New Roman;serif" w:hAnsi="Times New Roman;serif"/>
          <w:b w:val="false"/>
          <w:color w:val="000000"/>
          <w:sz w:val="22"/>
        </w:rPr>
        <w:t xml:space="preserve">means a notice of a Swingline Borrowing pursuant to </w:t>
      </w:r>
      <w:r>
        <w:rPr>
          <w:rFonts w:ascii="Times New Roman;serif" w:hAnsi="Times New Roman;serif"/>
          <w:b w:val="false"/>
          <w:color w:val="000000"/>
          <w:sz w:val="22"/>
          <w:u w:val="single"/>
        </w:rPr>
        <w:t>Section 2.04(b</w:t>
      </w:r>
      <w:r>
        <w:rPr>
          <w:rFonts w:ascii="Times New Roman;serif" w:hAnsi="Times New Roman;serif"/>
          <w:b w:val="false"/>
          <w:color w:val="000000"/>
          <w:sz w:val="22"/>
        </w:rPr>
        <w:t xml:space="preserve">), which shall be substantially in the form of </w:t>
      </w:r>
      <w:r>
        <w:rPr>
          <w:rFonts w:ascii="Times New Roman;serif" w:hAnsi="Times New Roman;serif"/>
          <w:b w:val="false"/>
          <w:color w:val="000000"/>
          <w:sz w:val="22"/>
          <w:u w:val="single"/>
        </w:rPr>
        <w:t>Exhibit I</w:t>
      </w:r>
      <w:r>
        <w:rPr>
          <w:color w:val="000000"/>
        </w:rPr>
        <w:t xml:space="preserve"> </w:t>
      </w:r>
      <w:r>
        <w:rPr>
          <w:rFonts w:ascii="Times New Roman;serif" w:hAnsi="Times New Roman;serif"/>
          <w:b w:val="false"/>
          <w:color w:val="000000"/>
          <w:sz w:val="22"/>
        </w:rPr>
        <w:t>or such other form as approved by the Administrative Agent (including any form on an electronic platform or electronic transmission system as shall be approved by the Administrative Agent), appropriately completed and signed by a Responsible Officer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Swingline Sublimit</w:t>
      </w:r>
      <w:r>
        <w:rPr>
          <w:color w:val="000000"/>
        </w:rPr>
        <w:t xml:space="preserve">” </w:t>
      </w:r>
      <w:r>
        <w:rPr>
          <w:rFonts w:ascii="Times New Roman;serif" w:hAnsi="Times New Roman;serif"/>
          <w:b w:val="false"/>
          <w:color w:val="000000"/>
          <w:sz w:val="22"/>
        </w:rPr>
        <w:t>means an amount equal to the lesser of (a) $30,000,000 and (b) the Revolving Facility. The Swingline Sublimit is part of, and not in addition to, the Revolving Facility.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Swiss Franc</w:t>
      </w:r>
      <w:r>
        <w:rPr>
          <w:color w:val="000000"/>
        </w:rPr>
        <w:t xml:space="preserve">” </w:t>
      </w:r>
      <w:r>
        <w:rPr>
          <w:rFonts w:ascii="Times New Roman;serif" w:hAnsi="Times New Roman;serif"/>
          <w:b w:val="false"/>
          <w:color w:val="000000"/>
          <w:sz w:val="22"/>
        </w:rPr>
        <w:t>means the lawful currency of Switzerland.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Synthetic Debt</w:t>
      </w:r>
      <w:r>
        <w:rPr>
          <w:color w:val="000000"/>
        </w:rPr>
        <w:t xml:space="preserve">” </w:t>
      </w:r>
      <w:r>
        <w:rPr>
          <w:rFonts w:ascii="Times New Roman;serif" w:hAnsi="Times New Roman;serif"/>
          <w:b w:val="false"/>
          <w:color w:val="000000"/>
          <w:sz w:val="22"/>
        </w:rPr>
        <w:t>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Subsidiaries in accordance with GAAP.</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85445"/>
                <wp:effectExtent l="0" t="0" r="0" b="0"/>
                <wp:wrapNone/>
                <wp:docPr id="76" name="Frame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Synthetic Lease Obligation</w:t>
      </w:r>
      <w:r>
        <w:rPr>
          <w:color w:val="000000"/>
        </w:rPr>
        <w:t xml:space="preserve">” </w:t>
      </w:r>
      <w:r>
        <w:rPr>
          <w:rFonts w:ascii="Times New Roman;serif" w:hAnsi="Times New Roman;serif"/>
          <w:b w:val="false"/>
          <w:color w:val="000000"/>
          <w:sz w:val="22"/>
        </w:rPr>
        <w:t>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Target</w:t>
      </w:r>
      <w:r>
        <w:rPr>
          <w:color w:val="000000"/>
        </w:rPr>
        <w:t xml:space="preserve">” </w:t>
      </w:r>
      <w:r>
        <w:rPr>
          <w:rFonts w:ascii="Times New Roman;serif" w:hAnsi="Times New Roman;serif"/>
          <w:b w:val="false"/>
          <w:color w:val="000000"/>
          <w:sz w:val="22"/>
        </w:rPr>
        <w:t>has the meaning set forth in the definition of “Permitted Acquisition.”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TARGET2</w:t>
      </w:r>
      <w:r>
        <w:rPr>
          <w:color w:val="000000"/>
        </w:rPr>
        <w:t xml:space="preserve">” </w:t>
      </w:r>
      <w:r>
        <w:rPr>
          <w:rFonts w:ascii="Times New Roman;serif" w:hAnsi="Times New Roman;serif"/>
          <w:b w:val="false"/>
          <w:color w:val="000000"/>
          <w:sz w:val="22"/>
        </w:rPr>
        <w:t>means the real time gross settlement system operated by the Eurosystem, or any successor system</w:t>
      </w:r>
      <w:r>
        <w:rPr>
          <w:rFonts w:ascii="Times New Roman;serif" w:hAnsi="Times New Roman;serif"/>
          <w:b w:val="false"/>
          <w:i/>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TARGET</w:t>
      </w:r>
      <w:r>
        <w:rPr>
          <w:color w:val="000000"/>
          <w:u w:val="single"/>
        </w:rPr>
        <w:t xml:space="preserve"> </w:t>
      </w:r>
      <w:r>
        <w:rPr>
          <w:rFonts w:ascii="Times New Roman;serif" w:hAnsi="Times New Roman;serif"/>
          <w:b w:val="false"/>
          <w:i/>
          <w:color w:val="000000"/>
          <w:sz w:val="22"/>
          <w:u w:val="single"/>
        </w:rPr>
        <w:t>Day</w:t>
      </w:r>
      <w:r>
        <w:rPr>
          <w:color w:val="000000"/>
        </w:rPr>
        <w:t xml:space="preserve">” </w:t>
      </w:r>
      <w:r>
        <w:rPr>
          <w:rFonts w:ascii="Times New Roman;serif" w:hAnsi="Times New Roman;serif"/>
          <w:b w:val="false"/>
          <w:color w:val="000000"/>
          <w:sz w:val="22"/>
        </w:rPr>
        <w:t>means any day on which T2 is open for the settlement of payments in Euro.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Tax Deduction</w:t>
      </w:r>
      <w:r>
        <w:rPr>
          <w:color w:val="000000"/>
        </w:rPr>
        <w:t xml:space="preserve">” </w:t>
      </w:r>
      <w:r>
        <w:rPr>
          <w:rFonts w:ascii="Times New Roman;serif" w:hAnsi="Times New Roman;serif"/>
          <w:b w:val="false"/>
          <w:color w:val="000000"/>
          <w:sz w:val="22"/>
        </w:rPr>
        <w:t>means a deduction or withholding for or on account of any Taxes from a payment under a Loan Document, other than a FATCA Deduction.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Taxes</w:t>
      </w:r>
      <w:r>
        <w:rPr>
          <w:color w:val="000000"/>
        </w:rPr>
        <w:t xml:space="preserve">” </w:t>
      </w:r>
      <w:r>
        <w:rPr>
          <w:rFonts w:ascii="Times New Roman;serif" w:hAnsi="Times New Roman;serif"/>
          <w:b w:val="false"/>
          <w:color w:val="000000"/>
          <w:sz w:val="22"/>
        </w:rPr>
        <w:t>means all present or future taxes, levies, imposts, duties, deductions, withholdings (including backup withholding), assessments, fees or other charges in the nature of taxes imposed by any Governmental Authority, including any interest, additions to tax or penalties applicable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Term CORRA Adjustment</w:t>
      </w:r>
      <w:r>
        <w:rPr>
          <w:color w:val="000000"/>
        </w:rPr>
        <w:t xml:space="preserve">” </w:t>
      </w:r>
      <w:r>
        <w:rPr>
          <w:rFonts w:ascii="Times New Roman;serif" w:hAnsi="Times New Roman;serif"/>
          <w:b w:val="false"/>
          <w:color w:val="000000"/>
          <w:sz w:val="22"/>
        </w:rPr>
        <w:t>means (i) 0.29547% (29.547 basis points) for an Interest Period of one-month’s duration, and (ii) 0.32138% (32.138 basis points) for an Interest Period of three-months’ duration.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Term Borrowing</w:t>
      </w:r>
      <w:r>
        <w:rPr>
          <w:color w:val="000000"/>
        </w:rPr>
        <w:t xml:space="preserve">” </w:t>
      </w:r>
      <w:r>
        <w:rPr>
          <w:rFonts w:ascii="Times New Roman;serif" w:hAnsi="Times New Roman;serif"/>
          <w:b w:val="false"/>
          <w:color w:val="000000"/>
          <w:sz w:val="22"/>
        </w:rPr>
        <w:t>means a borrowing consisting of simultaneous Term Loans of the same Type and, in the case of Alternative Currency Term Rate Loans, having the same Interest Period made by each of the Term Lenders pursuant to Section 2.01(a).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Term Commitment</w:t>
      </w:r>
      <w:r>
        <w:rPr>
          <w:color w:val="000000"/>
        </w:rPr>
        <w:t xml:space="preserve">” </w:t>
      </w:r>
      <w:r>
        <w:rPr>
          <w:rFonts w:ascii="Times New Roman;serif" w:hAnsi="Times New Roman;serif"/>
          <w:b w:val="false"/>
          <w:color w:val="000000"/>
          <w:sz w:val="22"/>
        </w:rPr>
        <w:t>means, as to each Term Lender, its obligation to make Term Loans to the Company pursuant to Section 2.01(a) in an aggregate principal amount at any one time outstanding not to exceed the amount set forth opposite such Term Lender’s name on Schedule 1.01(b) under the caption “Term Commitment” or opposite such caption in the Assignment and Assumption pursuant to which such Term Lender becomes a party hereto, as applicable, as such amount may be adjusted from time to time in accordance with this Agreement. The Term Commitment of all of the Term Lenders on the Closing Date shall be $75,000,000.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Term Facility</w:t>
      </w:r>
      <w:r>
        <w:rPr>
          <w:color w:val="000000"/>
        </w:rPr>
        <w:t xml:space="preserve">” </w:t>
      </w:r>
      <w:r>
        <w:rPr>
          <w:rFonts w:ascii="Times New Roman;serif" w:hAnsi="Times New Roman;serif"/>
          <w:b w:val="false"/>
          <w:color w:val="000000"/>
          <w:sz w:val="22"/>
        </w:rPr>
        <w:t>means, at any time, (a) on or prior to the Closing Date, the aggregate amount of the Term Commitments at such time and (b) thereafter, the aggregate principal amount of the Term Loans of all Term Lenders outstanding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Term Lender</w:t>
      </w:r>
      <w:r>
        <w:rPr>
          <w:color w:val="000000"/>
        </w:rPr>
        <w:t xml:space="preserve">” </w:t>
      </w:r>
      <w:r>
        <w:rPr>
          <w:rFonts w:ascii="Times New Roman;serif" w:hAnsi="Times New Roman;serif"/>
          <w:b w:val="false"/>
          <w:color w:val="000000"/>
          <w:sz w:val="22"/>
        </w:rPr>
        <w:t>means (a) at any time on prior to the Closing Date, any Lender that has a Term Commitment at such time and (b) at any time after the Closing Date, any Lender that holds Term Loans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Term Loan</w:t>
      </w:r>
      <w:r>
        <w:rPr>
          <w:color w:val="000000"/>
        </w:rPr>
        <w:t xml:space="preserve">” </w:t>
      </w:r>
      <w:r>
        <w:rPr>
          <w:rFonts w:ascii="Times New Roman;serif" w:hAnsi="Times New Roman;serif"/>
          <w:b w:val="false"/>
          <w:color w:val="000000"/>
          <w:sz w:val="22"/>
        </w:rPr>
        <w:t>means an advance made by any Term Lender under the Term Facility.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Term Note</w:t>
      </w:r>
      <w:r>
        <w:rPr>
          <w:color w:val="000000"/>
        </w:rPr>
        <w:t xml:space="preserve">” </w:t>
      </w:r>
      <w:r>
        <w:rPr>
          <w:rFonts w:ascii="Times New Roman;serif" w:hAnsi="Times New Roman;serif"/>
          <w:b w:val="false"/>
          <w:color w:val="000000"/>
          <w:sz w:val="22"/>
        </w:rPr>
        <w:t>means a promissory note made by the Company in favor of a Term Lender evidencing Term Loans made by such Term Lender, substantially in the form of Exhibit K.</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85445"/>
                <wp:effectExtent l="0" t="0" r="0" b="0"/>
                <wp:wrapNone/>
                <wp:docPr id="77" name="Frame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Term SOFR</w:t>
      </w:r>
      <w:r>
        <w:rPr>
          <w:color w:val="000000"/>
        </w:rPr>
        <w:t xml:space="preserve">” </w:t>
      </w:r>
      <w:r>
        <w:rPr>
          <w:rFonts w:ascii="Times New Roman;serif" w:hAnsi="Times New Roman;serif"/>
          <w:b w:val="false"/>
          <w:color w:val="000000"/>
          <w:sz w:val="22"/>
        </w:rPr>
        <w:t>means: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for any interest calculation with respect to a Base Rate Loan on any date, the rate per annum equal to the Term SOFR Screen Rate with a term of one month commencing that day;</w:t>
      </w:r>
    </w:p>
    <w:p>
      <w:pPr>
        <w:pStyle w:val="TextBody"/>
        <w:bidi w:val="0"/>
        <w:spacing w:lineRule="auto" w:line="288" w:before="0" w:after="240"/>
        <w:jc w:val="both"/>
        <w:rPr/>
      </w:pPr>
      <w:r>
        <w:rPr>
          <w:rFonts w:ascii="Times New Roman;serif" w:hAnsi="Times New Roman;serif"/>
          <w:b w:val="false"/>
          <w:i/>
          <w:color w:val="000000"/>
          <w:sz w:val="22"/>
          <w:u w:val="single"/>
        </w:rPr>
        <w:t>provided</w:t>
      </w:r>
      <w:r>
        <w:rPr>
          <w:color w:val="000000"/>
        </w:rPr>
        <w:t xml:space="preserve"> </w:t>
      </w:r>
      <w:r>
        <w:rPr>
          <w:rFonts w:ascii="Times New Roman;serif" w:hAnsi="Times New Roman;serif"/>
          <w:b w:val="false"/>
          <w:color w:val="000000"/>
          <w:sz w:val="22"/>
        </w:rPr>
        <w:t>that if the Term SOFR determined in accordance with either of the foregoing provisions (a) or (b) of this definition would otherwise be less than zero, the Term SOFR shall be deemed zero for purposes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Term SOFR Loan</w:t>
      </w:r>
      <w:r>
        <w:rPr>
          <w:color w:val="000000"/>
        </w:rPr>
        <w:t xml:space="preserve">” </w:t>
      </w:r>
      <w:r>
        <w:rPr>
          <w:rFonts w:ascii="Times New Roman;serif" w:hAnsi="Times New Roman;serif"/>
          <w:b w:val="false"/>
          <w:color w:val="000000"/>
          <w:sz w:val="22"/>
        </w:rPr>
        <w:t>means a Loan that bears interest at a rate based on clause (a) of the definition of Term SOFR.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Term SOFR Screen Rate</w:t>
      </w:r>
      <w:r>
        <w:rPr>
          <w:color w:val="000000"/>
        </w:rPr>
        <w:t xml:space="preserve">” </w:t>
      </w:r>
      <w:r>
        <w:rPr>
          <w:rFonts w:ascii="Times New Roman;serif" w:hAnsi="Times New Roman;serif"/>
          <w:b w:val="false"/>
          <w:color w:val="000000"/>
          <w:sz w:val="22"/>
        </w:rPr>
        <w:t>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Threshold Amount</w:t>
      </w:r>
      <w:r>
        <w:rPr>
          <w:color w:val="000000"/>
        </w:rPr>
        <w:t xml:space="preserve">” </w:t>
      </w:r>
      <w:r>
        <w:rPr>
          <w:rFonts w:ascii="Times New Roman;serif" w:hAnsi="Times New Roman;serif"/>
          <w:b w:val="false"/>
          <w:color w:val="000000"/>
          <w:sz w:val="22"/>
        </w:rPr>
        <w:t>means $20,000,000.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Total Credit Exposure</w:t>
      </w:r>
      <w:r>
        <w:rPr>
          <w:color w:val="000000"/>
        </w:rPr>
        <w:t xml:space="preserve">” </w:t>
      </w:r>
      <w:r>
        <w:rPr>
          <w:rFonts w:ascii="Times New Roman;serif" w:hAnsi="Times New Roman;serif"/>
          <w:b w:val="false"/>
          <w:color w:val="000000"/>
          <w:sz w:val="22"/>
        </w:rPr>
        <w:t>means, as to any Lender at any time, the unused Commitments, Revolving Exposure and Outstanding Amount of all Term Loans of such Lender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Total Revolving Exposure</w:t>
      </w:r>
      <w:r>
        <w:rPr>
          <w:color w:val="000000"/>
        </w:rPr>
        <w:t xml:space="preserve">” </w:t>
      </w:r>
      <w:r>
        <w:rPr>
          <w:rFonts w:ascii="Times New Roman;serif" w:hAnsi="Times New Roman;serif"/>
          <w:b w:val="false"/>
          <w:color w:val="000000"/>
          <w:sz w:val="22"/>
        </w:rPr>
        <w:t>means, as to any Revolving Lender at any time, the unused Commitments and Revolving Exposure of such Revolving Lender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Total Revolving Outstandings</w:t>
      </w:r>
      <w:r>
        <w:rPr>
          <w:color w:val="000000"/>
        </w:rPr>
        <w:t xml:space="preserve">” </w:t>
      </w:r>
      <w:r>
        <w:rPr>
          <w:rFonts w:ascii="Times New Roman;serif" w:hAnsi="Times New Roman;serif"/>
          <w:b w:val="false"/>
          <w:color w:val="000000"/>
          <w:sz w:val="22"/>
        </w:rPr>
        <w:t>means, as of any date of determination, the aggregate Outstanding Amount of all Revolving Loans, Swingline Loans and L/C Obligations as of such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Treaty Lender</w:t>
      </w:r>
      <w:r>
        <w:rPr>
          <w:color w:val="000000"/>
        </w:rPr>
        <w:t xml:space="preserve">” </w:t>
      </w:r>
      <w:r>
        <w:rPr>
          <w:rFonts w:ascii="Times New Roman;serif" w:hAnsi="Times New Roman;serif"/>
          <w:b w:val="false"/>
          <w:color w:val="000000"/>
          <w:sz w:val="22"/>
        </w:rPr>
        <w:t>means a Lender which: (a) is treated as a resident of a Treaty State for the purposes of the Treaty; (b) does not carry on a business in the United Kingdom through a permanent establishment with which that Lender’s participation in the Loan is effectively connected; and (c) meets all other conditions in the Treaty for a recipient of interest to be able to benefit from full exemption from tax imposed by the United Kingdom on interest, except that for this purpose it shall be assumed that any necessary procedural requirements are satisfied.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Treaty State</w:t>
      </w:r>
      <w:r>
        <w:rPr>
          <w:color w:val="000000"/>
        </w:rPr>
        <w:t xml:space="preserve">” </w:t>
      </w:r>
      <w:r>
        <w:rPr>
          <w:rFonts w:ascii="Times New Roman;serif" w:hAnsi="Times New Roman;serif"/>
          <w:b w:val="false"/>
          <w:color w:val="000000"/>
          <w:sz w:val="22"/>
        </w:rPr>
        <w:t>means a jurisdiction having a double taxation agreement (a “</w:t>
      </w:r>
      <w:r>
        <w:rPr>
          <w:rFonts w:ascii="Times New Roman;serif" w:hAnsi="Times New Roman;serif"/>
          <w:b w:val="false"/>
          <w:color w:val="000000"/>
          <w:sz w:val="22"/>
          <w:u w:val="single"/>
        </w:rPr>
        <w:t>Treaty</w:t>
      </w:r>
      <w:r>
        <w:rPr>
          <w:color w:val="000000"/>
        </w:rPr>
        <w:t>”</w:t>
      </w:r>
      <w:r>
        <w:rPr>
          <w:rFonts w:ascii="Times New Roman;serif" w:hAnsi="Times New Roman;serif"/>
          <w:b w:val="false"/>
          <w:color w:val="000000"/>
          <w:sz w:val="22"/>
        </w:rPr>
        <w:t>) with the United Kingdom which makes provision for full exemption from tax imposed by the United Kingdom on interest.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Type</w:t>
      </w:r>
      <w:r>
        <w:rPr>
          <w:color w:val="000000"/>
        </w:rPr>
        <w:t xml:space="preserve">” </w:t>
      </w:r>
      <w:r>
        <w:rPr>
          <w:rFonts w:ascii="Times New Roman;serif" w:hAnsi="Times New Roman;serif"/>
          <w:b w:val="false"/>
          <w:color w:val="000000"/>
          <w:sz w:val="22"/>
        </w:rPr>
        <w:t>means, with respect to a Loan, its character as a Base Rate Loan, an Alternative Currency Daily Rate Loan, an Alternative Currency Term Rate Loan, a Daily SOFR Loan or a Term SOFR Loan.</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85445"/>
                <wp:effectExtent l="0" t="0" r="0" b="0"/>
                <wp:wrapNone/>
                <wp:docPr id="78" name="Frame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UCP</w:t>
      </w:r>
      <w:r>
        <w:rPr>
          <w:color w:val="000000"/>
        </w:rPr>
        <w:t xml:space="preserve">” </w:t>
      </w:r>
      <w:r>
        <w:rPr>
          <w:rFonts w:ascii="Times New Roman;serif" w:hAnsi="Times New Roman;serif"/>
          <w:b w:val="false"/>
          <w:color w:val="000000"/>
          <w:sz w:val="22"/>
        </w:rPr>
        <w:t>means the Uniform Customs and Practice for Documentary Credits, International Chamber of Commerce Publication No. 600 (or such later version thereof as may be in effect at the applicable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UK Financial Institution</w:t>
      </w:r>
      <w:r>
        <w:rPr>
          <w:color w:val="000000"/>
        </w:rPr>
        <w:t xml:space="preserve">” </w:t>
      </w:r>
      <w:r>
        <w:rPr>
          <w:rFonts w:ascii="Times New Roman;serif" w:hAnsi="Times New Roman;serif"/>
          <w:b w:val="false"/>
          <w:color w:val="000000"/>
          <w:sz w:val="22"/>
        </w:rPr>
        <w:t>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UK Loan Party</w:t>
      </w:r>
      <w:r>
        <w:rPr>
          <w:color w:val="000000"/>
        </w:rPr>
        <w:t xml:space="preserve">” </w:t>
      </w:r>
      <w:r>
        <w:rPr>
          <w:rFonts w:ascii="Times New Roman;serif" w:hAnsi="Times New Roman;serif"/>
          <w:b w:val="false"/>
          <w:color w:val="000000"/>
          <w:sz w:val="22"/>
        </w:rPr>
        <w:t>means the UK Borrower and any Additional Borrower that is incorporated in England and Wales.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UK Resolution Authority</w:t>
      </w:r>
      <w:r>
        <w:rPr>
          <w:color w:val="000000"/>
        </w:rPr>
        <w:t xml:space="preserve">” </w:t>
      </w:r>
      <w:r>
        <w:rPr>
          <w:rFonts w:ascii="Times New Roman;serif" w:hAnsi="Times New Roman;serif"/>
          <w:b w:val="false"/>
          <w:color w:val="000000"/>
          <w:sz w:val="22"/>
        </w:rPr>
        <w:t>means the Bank of England or any other public administrative authority having responsibility for the resolution of any UK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United States</w:t>
      </w:r>
      <w:r>
        <w:rPr>
          <w:color w:val="000000"/>
        </w:rPr>
        <w:t xml:space="preserve">” </w:t>
      </w:r>
      <w:r>
        <w:rPr>
          <w:rFonts w:ascii="Times New Roman;serif" w:hAnsi="Times New Roman;serif"/>
          <w:b w:val="false"/>
          <w:color w:val="000000"/>
          <w:sz w:val="22"/>
        </w:rPr>
        <w:t>and “</w:t>
      </w:r>
      <w:r>
        <w:rPr>
          <w:rFonts w:ascii="Times New Roman;serif" w:hAnsi="Times New Roman;serif"/>
          <w:b w:val="false"/>
          <w:i/>
          <w:color w:val="000000"/>
          <w:sz w:val="22"/>
          <w:u w:val="single"/>
        </w:rPr>
        <w:t>U</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S</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mean the United States of America.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Unreimbursed Amount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2.03(f</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U.S. Borrower</w:t>
      </w:r>
      <w:r>
        <w:rPr>
          <w:color w:val="000000"/>
        </w:rPr>
        <w:t xml:space="preserve">” </w:t>
      </w:r>
      <w:r>
        <w:rPr>
          <w:rFonts w:ascii="Times New Roman;serif" w:hAnsi="Times New Roman;serif"/>
          <w:b w:val="false"/>
          <w:color w:val="000000"/>
          <w:sz w:val="22"/>
        </w:rPr>
        <w:t>means any Borrower that is organized under the laws of the United States, a state thereof or the District of Columbia.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U.S. Government Securities Business Day</w:t>
      </w:r>
      <w:r>
        <w:rPr>
          <w:color w:val="000000"/>
        </w:rPr>
        <w:t xml:space="preserve">” </w:t>
      </w:r>
      <w:r>
        <w:rPr>
          <w:rFonts w:ascii="Times New Roman;serif" w:hAnsi="Times New Roman;serif"/>
          <w:b w:val="false"/>
          <w:color w:val="000000"/>
          <w:sz w:val="22"/>
        </w:rPr>
        <w:t>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U</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S</w:t>
      </w:r>
      <w:r>
        <w:rPr>
          <w:rFonts w:ascii="Times New Roman;serif" w:hAnsi="Times New Roman;serif"/>
          <w:b w:val="false"/>
          <w:color w:val="000000"/>
          <w:sz w:val="22"/>
          <w:u w:val="single"/>
        </w:rPr>
        <w:t xml:space="preserve">. </w:t>
      </w:r>
      <w:r>
        <w:rPr>
          <w:rFonts w:ascii="Times New Roman;serif" w:hAnsi="Times New Roman;serif"/>
          <w:b w:val="false"/>
          <w:i/>
          <w:color w:val="000000"/>
          <w:sz w:val="22"/>
          <w:u w:val="single"/>
        </w:rPr>
        <w:t>Loan Party</w:t>
      </w:r>
      <w:r>
        <w:rPr>
          <w:color w:val="000000"/>
        </w:rPr>
        <w:t xml:space="preserve">” </w:t>
      </w:r>
      <w:r>
        <w:rPr>
          <w:rFonts w:ascii="Times New Roman;serif" w:hAnsi="Times New Roman;serif"/>
          <w:b w:val="false"/>
          <w:color w:val="000000"/>
          <w:sz w:val="22"/>
        </w:rPr>
        <w:t>means any Loan Party that is organized under the laws of the United States, any state thereof or the District of Columbia.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U</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S</w:t>
      </w:r>
      <w:r>
        <w:rPr>
          <w:rFonts w:ascii="Times New Roman;serif" w:hAnsi="Times New Roman;serif"/>
          <w:b w:val="false"/>
          <w:color w:val="000000"/>
          <w:sz w:val="22"/>
          <w:u w:val="single"/>
        </w:rPr>
        <w:t xml:space="preserve">. </w:t>
      </w:r>
      <w:r>
        <w:rPr>
          <w:rFonts w:ascii="Times New Roman;serif" w:hAnsi="Times New Roman;serif"/>
          <w:b w:val="false"/>
          <w:i/>
          <w:color w:val="000000"/>
          <w:sz w:val="22"/>
          <w:u w:val="single"/>
        </w:rPr>
        <w:t>Person</w:t>
      </w:r>
      <w:r>
        <w:rPr>
          <w:color w:val="000000"/>
        </w:rPr>
        <w:t xml:space="preserve">” </w:t>
      </w:r>
      <w:r>
        <w:rPr>
          <w:rFonts w:ascii="Times New Roman;serif" w:hAnsi="Times New Roman;serif"/>
          <w:b w:val="false"/>
          <w:color w:val="000000"/>
          <w:sz w:val="22"/>
        </w:rPr>
        <w:t>means any Person that is a “United States Person” as defined in Section 7701(a)(30)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U.S. Special Resolution Regimes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11.21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U</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S</w:t>
      </w:r>
      <w:r>
        <w:rPr>
          <w:rFonts w:ascii="Times New Roman;serif" w:hAnsi="Times New Roman;serif"/>
          <w:b w:val="false"/>
          <w:color w:val="000000"/>
          <w:sz w:val="22"/>
          <w:u w:val="single"/>
        </w:rPr>
        <w:t xml:space="preserve">. </w:t>
      </w:r>
      <w:r>
        <w:rPr>
          <w:rFonts w:ascii="Times New Roman;serif" w:hAnsi="Times New Roman;serif"/>
          <w:b w:val="false"/>
          <w:i/>
          <w:color w:val="000000"/>
          <w:sz w:val="22"/>
          <w:u w:val="single"/>
        </w:rPr>
        <w:t>Tax</w:t>
      </w:r>
      <w:r>
        <w:rPr>
          <w:color w:val="000000"/>
          <w:u w:val="single"/>
        </w:rPr>
        <w:t xml:space="preserve"> </w:t>
      </w:r>
      <w:r>
        <w:rPr>
          <w:rFonts w:ascii="Times New Roman;serif" w:hAnsi="Times New Roman;serif"/>
          <w:b w:val="false"/>
          <w:i/>
          <w:color w:val="000000"/>
          <w:sz w:val="22"/>
          <w:u w:val="single"/>
        </w:rPr>
        <w:t>Compliance Certificate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3.01(f)(ii)(B)(3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VAT</w:t>
      </w:r>
      <w:r>
        <w:rPr>
          <w:color w:val="000000"/>
        </w:rPr>
        <w:t xml:space="preserve">” </w:t>
      </w:r>
      <w:r>
        <w:rPr>
          <w:rFonts w:ascii="Times New Roman;serif" w:hAnsi="Times New Roman;serif"/>
          <w:b w:val="false"/>
          <w:color w:val="000000"/>
          <w:sz w:val="22"/>
        </w:rPr>
        <w:t>means (a) any value added tax imposed by the Value Added Tax Act 1994; (b) any Tax imposed in compliance with the Council Directive of 28 November 2006 on the common system of value added tax (EC Directive 2006/112) and (b) any other Tax of a similar nature, whether imposed in a member state of the European Union in substitution for, or levied in addition to, such tax referred to in paragraph (a) or (b) above), or imposed elsewhere.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Voting Stock</w:t>
      </w:r>
      <w:r>
        <w:rPr>
          <w:color w:val="000000"/>
        </w:rPr>
        <w:t xml:space="preserve">” </w:t>
      </w:r>
      <w:r>
        <w:rPr>
          <w:rFonts w:ascii="Times New Roman;serif" w:hAnsi="Times New Roman;serif"/>
          <w:b w:val="false"/>
          <w:color w:val="000000"/>
          <w:sz w:val="22"/>
        </w:rPr>
        <w:t>means, with respect to any Person, Equity Interests issued by such Person the holders of which are ordinarily, in the absence of contingencies, entitled to vote for the election of directors (or persons performing similar functions) of such Person, even though the right to so vote has been suspended by the happening of such contingency.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Withholding Agent</w:t>
      </w:r>
      <w:r>
        <w:rPr>
          <w:color w:val="000000"/>
        </w:rPr>
        <w:t xml:space="preserve">” </w:t>
      </w:r>
      <w:r>
        <w:rPr>
          <w:rFonts w:ascii="Times New Roman;serif" w:hAnsi="Times New Roman;serif"/>
          <w:b w:val="false"/>
          <w:color w:val="000000"/>
          <w:sz w:val="22"/>
        </w:rPr>
        <w:t>means any Loan Party or the Administrative Agent,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85445"/>
                <wp:effectExtent l="0" t="0" r="0" b="0"/>
                <wp:wrapNone/>
                <wp:docPr id="79" name="Frame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2"/>
          <w:u w:val="single"/>
        </w:rPr>
        <w:t>Write-Down and Conversion Powers</w:t>
      </w:r>
      <w:r>
        <w:rPr>
          <w:color w:val="000000"/>
        </w:rPr>
        <w:t xml:space="preserve">” </w:t>
      </w:r>
      <w:r>
        <w:rPr>
          <w:rFonts w:ascii="Times New Roman;serif" w:hAnsi="Times New Roman;serif"/>
          <w:b w:val="false"/>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40" w:before="0" w:after="240"/>
        <w:ind w:left="0" w:right="0" w:firstLine="720"/>
        <w:jc w:val="both"/>
        <w:rPr/>
      </w:pPr>
      <w:r>
        <w:rPr>
          <w:rFonts w:ascii="Times New Roman;serif" w:hAnsi="Times New Roman;serif"/>
          <w:b/>
          <w:color w:val="000000"/>
          <w:sz w:val="22"/>
        </w:rPr>
        <w:t>1.02</w:t>
      </w:r>
      <w:r>
        <w:rPr>
          <w:rFonts w:ascii="Times New Roman;serif" w:hAnsi="Times New Roman;serif"/>
          <w:b/>
          <w:color w:val="000000"/>
          <w:sz w:val="22"/>
          <w:u w:val="single"/>
        </w:rPr>
        <w:t>Other Interpretive Provisions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 reference to this Agreement and each other Loan Document, unless otherwise specified herein or in such other Loan Document: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amended and restated,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rule or regulation shall, unless otherwise specified, refer to such law, rule or regulation as amended, modified, extended, restated, replaced or supplemented from time to time, and (vi) the words “asset” and “property” shall be construed to have the same meaning and effect and to refer to any and all tangible and intangible assets and properties, including cash, securities, accounts and contract rights. Any and all references to “Borrower” regardless of whether preceded by the term “a”, “any”, “each of”, “all”, “and/or”, or any other similar term shall be deemed to refer, as the context requires, to each and every (and/or any, one or all) parties constituting a Borrower, individually and/or in the aggregate.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(b)In the computation of periods of time from a specified date to a later specified date, the word “from” means “from and including;” the words “to” and “until” each mean “to but excluding;” and the word “through” means “to and including.”</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(c)Section headings herein and in the other Loan Documents are included for convenience of reference only and shall not affect the interpretation of this Agreement or any other Loan Document.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(d)Any reference herein to a merger, transfer, amalgamation,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85445"/>
                <wp:effectExtent l="0" t="0" r="0" b="0"/>
                <wp:wrapNone/>
                <wp:docPr id="80" name="Frame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(e)Any document delivered hereunder that is signed by a Responsible Officer, any other officer or other employee, any director or manager, or any other similar representative of a Loan Party or any Subsidiary shall be conclusively presumed to have been authorized by all necessary corporate, partnership and/or other action on the part of such Loan Party or Subsidiary and such Responsible Officer or other Person shall be conclusively presumed to have acted on behalf of such Loan Party or Subsidiary.</w:t>
      </w:r>
    </w:p>
    <w:p>
      <w:pPr>
        <w:pStyle w:val="TextBody"/>
        <w:bidi w:val="0"/>
        <w:spacing w:lineRule="auto" w:line="240" w:before="0" w:after="240"/>
        <w:ind w:left="0" w:right="0" w:firstLine="720"/>
        <w:jc w:val="both"/>
        <w:rPr/>
      </w:pPr>
      <w:r>
        <w:rPr>
          <w:rFonts w:ascii="Times New Roman;serif" w:hAnsi="Times New Roman;serif"/>
          <w:b/>
          <w:color w:val="000000"/>
          <w:sz w:val="22"/>
        </w:rPr>
        <w:t>1.03</w:t>
      </w:r>
      <w:r>
        <w:rPr>
          <w:rFonts w:ascii="Times New Roman;serif" w:hAnsi="Times New Roman;serif"/>
          <w:b/>
          <w:color w:val="000000"/>
          <w:sz w:val="22"/>
          <w:u w:val="single"/>
        </w:rPr>
        <w:t>Accounting Terms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Generally</w:t>
      </w:r>
      <w:r>
        <w:rPr>
          <w:rFonts w:ascii="Times New Roman;serif" w:hAnsi="Times New Roman;serif"/>
          <w:b w:val="false"/>
          <w:color w:val="000000"/>
          <w:sz w:val="22"/>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 Indebtedness of the Company and its Subsidiaries shall be deemed to be carried at 100% of the outstanding principal amount thereof, and the effects of FASB ASC 825 on financial liabilities shall be disregarded, and (ii) all terms of an accounting or financial nature used herein shall be construed, and all computations of amounts and ratios referred to herein shall be made, without giving effect to any election under FASB ASC Topic 825 “Financial Instruments” (or any other financial accounting standard having a similar result or effect) to value any Indebtedness of any Borrower or any Subsidiary at “fair value”, as defined therein. For purposes of determining the amount of any outstanding Indebtedness, no effect shall be given to any election by the Company to measure an item of Indebtedness using fair value (as permitted by Financial Accounting Standards Board Accounting Standards Codification 825–10–25 (formerly known as FASB 159) or any similar accounting standard). For purposes of determining the amount of any outstanding Indebtedness, no effect shall be given to any change in accounting for leases pursuant to GAAP resulting from the implementation of Financial Accounting Standards Board ASU No. 2016–02, Leases (Topic 842), to the extent such adoption would require recognition of a lease liability where such lease (or similar arrangement) would not have required a lease liability under GAAP as in effect on December 31, 2015.</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Changes in GAAP</w:t>
      </w:r>
      <w:r>
        <w:rPr>
          <w:rFonts w:ascii="Times New Roman;serif" w:hAnsi="Times New Roman;serif"/>
          <w:b w:val="false"/>
          <w:color w:val="000000"/>
          <w:sz w:val="22"/>
        </w:rPr>
        <w:t xml:space="preserve">. If at any time any change in GAAP (including the adoption of IFRS)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Pro Forma Treatment</w:t>
      </w:r>
      <w:r>
        <w:rPr>
          <w:rFonts w:ascii="Times New Roman;serif" w:hAnsi="Times New Roman;serif"/>
          <w:b w:val="false"/>
          <w:color w:val="000000"/>
          <w:sz w:val="22"/>
        </w:rPr>
        <w:t xml:space="preserve">. Each Disposition of all or substantially all of a line of business, and each Acquisition, by any Borrower and its Subsidiaries that is consummated during any Measurement Period shall, for purposes of determining compliance with the financial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and for purposes of determining the Applicable Rate, be given Pro Forma Effect as of the first day of such Measurement Period.</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85445"/>
                <wp:effectExtent l="0" t="0" r="0" b="0"/>
                <wp:wrapNone/>
                <wp:docPr id="81" name="Frame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1.04</w:t>
      </w:r>
      <w:r>
        <w:rPr>
          <w:rFonts w:ascii="Times New Roman;serif" w:hAnsi="Times New Roman;serif"/>
          <w:b/>
          <w:color w:val="000000"/>
          <w:sz w:val="22"/>
          <w:u w:val="single"/>
        </w:rPr>
        <w:t>Rounding</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financial ratios required to be maintained by the Borrowers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lineRule="auto" w:line="240" w:before="0" w:after="240"/>
        <w:ind w:left="0" w:right="0" w:firstLine="720"/>
        <w:jc w:val="both"/>
        <w:rPr/>
      </w:pPr>
      <w:r>
        <w:rPr>
          <w:rFonts w:ascii="Times New Roman;serif" w:hAnsi="Times New Roman;serif"/>
          <w:b/>
          <w:color w:val="000000"/>
          <w:sz w:val="22"/>
        </w:rPr>
        <w:t>1.05</w:t>
      </w:r>
      <w:r>
        <w:rPr>
          <w:rFonts w:ascii="Times New Roman;serif" w:hAnsi="Times New Roman;serif"/>
          <w:b/>
          <w:color w:val="000000"/>
          <w:sz w:val="22"/>
          <w:u w:val="single"/>
        </w:rPr>
        <w:t>Times of Day</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otherwise specified, all references herein to times of day shall be references to Eastern time (daylight or standard, as applicable).</w:t>
      </w:r>
    </w:p>
    <w:p>
      <w:pPr>
        <w:pStyle w:val="TextBody"/>
        <w:bidi w:val="0"/>
        <w:spacing w:lineRule="auto" w:line="240" w:before="0" w:after="240"/>
        <w:ind w:left="0" w:right="0" w:firstLine="720"/>
        <w:jc w:val="both"/>
        <w:rPr/>
      </w:pPr>
      <w:r>
        <w:rPr>
          <w:rFonts w:ascii="Times New Roman;serif" w:hAnsi="Times New Roman;serif"/>
          <w:b/>
          <w:color w:val="000000"/>
          <w:sz w:val="22"/>
        </w:rPr>
        <w:t>1.06</w:t>
      </w:r>
      <w:r>
        <w:rPr>
          <w:rFonts w:ascii="Times New Roman;serif" w:hAnsi="Times New Roman;serif"/>
          <w:b/>
          <w:color w:val="000000"/>
          <w:sz w:val="22"/>
          <w:u w:val="single"/>
        </w:rPr>
        <w:t>Letter of Credit Amounts</w:t>
      </w:r>
      <w:r>
        <w:rPr>
          <w:rFonts w:ascii="Times New Roman;serif" w:hAnsi="Times New Roman;serif"/>
          <w:b/>
          <w:color w:val="000000"/>
          <w:sz w:val="22"/>
        </w:rPr>
        <w:t>.</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Unless otherwise specified herein, the amount of a Letter of Credit at any time shall be deemed to be the Dollar Equivalent of the stated amount of such Letter of Credit in effect at such time;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pStyle w:val="TextBody"/>
        <w:bidi w:val="0"/>
        <w:spacing w:lineRule="auto" w:line="240" w:before="0" w:after="240"/>
        <w:ind w:left="0" w:right="0" w:firstLine="720"/>
        <w:jc w:val="both"/>
        <w:rPr/>
      </w:pPr>
      <w:r>
        <w:rPr>
          <w:rFonts w:ascii="Times New Roman;serif" w:hAnsi="Times New Roman;serif"/>
          <w:b/>
          <w:color w:val="000000"/>
          <w:sz w:val="22"/>
        </w:rPr>
        <w:t>1.07</w:t>
      </w:r>
      <w:r>
        <w:rPr>
          <w:rFonts w:ascii="Times New Roman;serif" w:hAnsi="Times New Roman;serif"/>
          <w:b/>
          <w:color w:val="000000"/>
          <w:sz w:val="22"/>
          <w:u w:val="single"/>
        </w:rPr>
        <w:t>Limited Condition Transactions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Notwithstanding anything in this Agreement or any Loan Document to the contrary, when (i) calculating any applicable ratio, Consolidated Net Income or Consolidated EBITDA in connection with the incurrence of Indebtedness, the issuance of Disqualified Equity Interests, the creation of Liens, the making of any Disposition, the making of an Investment, or the making of a Restricted Payment, (ii) determining compliance with any provision of this Agreement which requires that no Default or Event of Default has occurred, is continuing or would result therefrom, (iii) determining compliance with any provision of this Agreement which requires compliance with any representations and warranties set forth herein or (iv) determining the availability for the utilization of any basket, the incurrence of Indebtedness, the issuance of Disqualified Equity Interests, the creation of Liens, the making of any Disposition, the making of an Investment, or the making of a Restricted Payment, in each case in connection with a Limited Condition Transaction, the date of determination of such ratio or other provisions, determination of whether any Default or Event of Default has occurred, is continuing or would result therefrom, determination of compliance with any representations or warranties or the satisfaction of any other conditions shall, at the option of the Company (the Company’s election to exercise such option in connection with any Limited Condition Transaction, an “</w:t>
      </w:r>
      <w:r>
        <w:rPr>
          <w:rFonts w:ascii="Times New Roman;serif" w:hAnsi="Times New Roman;serif"/>
          <w:b w:val="false"/>
          <w:color w:val="000000"/>
          <w:sz w:val="22"/>
          <w:u w:val="single"/>
        </w:rPr>
        <w:t>LCT Election</w:t>
      </w:r>
      <w:r>
        <w:rPr>
          <w:color w:val="000000"/>
        </w:rPr>
        <w:t xml:space="preserve">” </w:t>
      </w:r>
      <w:r>
        <w:rPr>
          <w:rFonts w:ascii="Times New Roman;serif" w:hAnsi="Times New Roman;serif"/>
          <w:b w:val="false"/>
          <w:color w:val="000000"/>
          <w:sz w:val="22"/>
        </w:rPr>
        <w:t xml:space="preserve">and any such date identified in </w:t>
      </w:r>
      <w:r>
        <w:rPr>
          <w:rFonts w:ascii="Times New Roman;serif" w:hAnsi="Times New Roman;serif"/>
          <w:b w:val="false"/>
          <w:color w:val="000000"/>
          <w:sz w:val="22"/>
          <w:u w:val="single"/>
        </w:rPr>
        <w:t>Section 1.07(a)(i) or (b)(i</w:t>
      </w:r>
      <w:r>
        <w:rPr>
          <w:rFonts w:ascii="Times New Roman;serif" w:hAnsi="Times New Roman;serif"/>
          <w:b w:val="false"/>
          <w:color w:val="000000"/>
          <w:sz w:val="22"/>
        </w:rPr>
        <w:t>) below, an “</w:t>
      </w:r>
      <w:r>
        <w:rPr>
          <w:rFonts w:ascii="Times New Roman;serif" w:hAnsi="Times New Roman;serif"/>
          <w:b w:val="false"/>
          <w:color w:val="000000"/>
          <w:sz w:val="22"/>
          <w:u w:val="single"/>
        </w:rPr>
        <w:t>LCT Test Date</w:t>
      </w:r>
      <w:r>
        <w:rPr>
          <w:color w:val="000000"/>
        </w:rPr>
        <w:t>”</w:t>
      </w:r>
      <w:r>
        <w:rPr>
          <w:rFonts w:ascii="Times New Roman;serif" w:hAnsi="Times New Roman;serif"/>
          <w:b w:val="false"/>
          <w:color w:val="000000"/>
          <w:sz w:val="22"/>
        </w:rPr>
        <w:t>), be deemed to be: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(a)in the case of any Limited Condition Acquisition (or any related Investment made substantially concurrently therewith), either (i) at the time of the execution of the definitive agreement with respect to the relevant Limited Condition Acquisition or (ii) the date of the consummation of such Limited Condition Acquisition,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(b)in the case of any Restricted Payment that constitutes a Limited Condition Transaction hereunder, either (i) the date of the formal declaration or public announcement of such Restricted Payment, or (ii) the date of the making of such Restricted Payment;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provided that in each case, (A) as of the applicable LCT Test Date, no Default or Event of Default shall have occurred and be continuing or would result from the proposed Limited Condition Transaction or any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85445"/>
                <wp:effectExtent l="0" t="0" r="0" b="0"/>
                <wp:wrapNone/>
                <wp:docPr id="82" name="Frame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related transactions (including the incurrence of any related Indebtedness) and (B) no Event of Default shall have occurred, be continuing or would result therefrom on the date of the consummation of such Limited Condition Transaction, in each case (1) after giving effect to the relevant transaction, the incurrence of any related Indebtedness (including the intended use of proceeds thereof) and all other permitted pro forma adjustments on a Pro Forma Basis and (2) based on the most recently ended four (4) consecutive fiscal quarter period for which internal financial statements are internally available. For the avoidance of doubt, if, following the LCT Test Date, any of such ratios or other provisions are exceeded or breached as a result of fluctuations in such ratio (including due to fluctuations in Consolidated EBITDA or other components of such ratio) or other provisions at or prior to the consummation of the relevant Limited Condition Transactions, such ratios and other provisions will not be deemed to have been exceeded or failed to have been satisfied as a result of such fluctuations solely for purposes of determining whether the Limited Condition Transaction is permitted hereunder. If the Company has made an LCT Election for any Limited Condition Transaction, then in connection with any subsequent calculation of any ratio, basket availability or compliance with any other provision hereunder on or following the relevant LCT Test Date and prior to the earlier of the date on which such Limited Condition Transaction is consummated and the date that the definitive agreement for such Limited Condition Transaction is terminated or expires without consummation of such Limited Condition Transaction, any such ratio, basket or compliance with any other provision hereunder shall be calculated on a Pro Forma Basis assuming such Limited Condition Transaction and other transactions in connection therewith (including any incurrence or issuance of Indebtedness or Disqualified Equity Interests and the use of proceeds thereof) had been consummated on the LCT Test Date (it being understood and agreed that for purposes of determining Pro Forma Compliance in connection with the making of any Restricted Payment, the Company shall demonstrate compliance with the applicable test both after giving effect to the applicable Limited Condition Transaction and assuming that such transaction had not occurred). For the avoidance of doubt, this </w:t>
      </w:r>
      <w:r>
        <w:rPr>
          <w:rFonts w:ascii="Times New Roman;serif" w:hAnsi="Times New Roman;serif"/>
          <w:b w:val="false"/>
          <w:color w:val="000000"/>
          <w:sz w:val="22"/>
          <w:u w:val="single"/>
        </w:rPr>
        <w:t>Section 1.07</w:t>
      </w:r>
      <w:r>
        <w:rPr>
          <w:color w:val="000000"/>
        </w:rPr>
        <w:t xml:space="preserve"> </w:t>
      </w:r>
      <w:r>
        <w:rPr>
          <w:rFonts w:ascii="Times New Roman;serif" w:hAnsi="Times New Roman;serif"/>
          <w:b w:val="false"/>
          <w:color w:val="000000"/>
          <w:sz w:val="22"/>
        </w:rPr>
        <w:t xml:space="preserve">shall not limit the conditions precedent set forth in Section 4.02 with respect to any proposed Credit Extension, in connection with a Limited Condition Transaction or otherwise;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however, that if the proceeds of an Incremental Term Loan are being used to finance such Limited Condition Transaction, then (x) the conditions set forth in </w:t>
      </w:r>
      <w:r>
        <w:rPr>
          <w:rFonts w:ascii="Times New Roman;serif" w:hAnsi="Times New Roman;serif"/>
          <w:b w:val="false"/>
          <w:color w:val="000000"/>
          <w:sz w:val="22"/>
          <w:u w:val="single"/>
        </w:rPr>
        <w:t>Section 2.19(a)(iii)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4.02(a)</w:t>
      </w:r>
      <w:r>
        <w:rPr>
          <w:color w:val="000000"/>
        </w:rPr>
        <w:t xml:space="preserve"> </w:t>
      </w:r>
      <w:r>
        <w:rPr>
          <w:rFonts w:ascii="Times New Roman;serif" w:hAnsi="Times New Roman;serif"/>
          <w:b w:val="false"/>
          <w:color w:val="000000"/>
          <w:sz w:val="22"/>
        </w:rPr>
        <w:t xml:space="preserve">shall be required to be satisfied at the time of closing of the Limited Condition Transaction and funding of such Incremental Term Loan but, if the lenders providing such Incremental Term Loan so agree, the representations and warranties which must be accurate at the time of closing of the Limited Condition Transaction and funding of such Incremental Term Loan may be limited to customary “specified representations” and such other representations and warranties as may be required by the lenders providing such Incremental Term Loan, and (y) the conditions set forth in </w:t>
      </w:r>
      <w:r>
        <w:rPr>
          <w:rFonts w:ascii="Times New Roman;serif" w:hAnsi="Times New Roman;serif"/>
          <w:b w:val="false"/>
          <w:color w:val="000000"/>
          <w:sz w:val="22"/>
          <w:u w:val="single"/>
        </w:rPr>
        <w:t>Section 2.19(a)(ii)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4.02(b)</w:t>
      </w:r>
      <w:r>
        <w:rPr>
          <w:color w:val="000000"/>
        </w:rPr>
        <w:t xml:space="preserve"> </w:t>
      </w:r>
      <w:r>
        <w:rPr>
          <w:rFonts w:ascii="Times New Roman;serif" w:hAnsi="Times New Roman;serif"/>
          <w:b w:val="false"/>
          <w:color w:val="000000"/>
          <w:sz w:val="22"/>
        </w:rPr>
        <w:t>shall, if and to the extent the lenders providing such Incremental Term Loan so agree, be satisfied if (I) no Default or Event of Default shall have occurred and be continuing as of the applicable LCT Test Date, and (II) no Specified Event of Default shall have occurred and be continuing at the time of the funding of such Incremental Term Loan in connection with the consummation of such Limited Condition Transaction.</w:t>
      </w:r>
    </w:p>
    <w:p>
      <w:pPr>
        <w:pStyle w:val="TextBody"/>
        <w:bidi w:val="0"/>
        <w:spacing w:lineRule="auto" w:line="240" w:before="0" w:after="240"/>
        <w:ind w:left="0" w:right="0" w:firstLine="720"/>
        <w:jc w:val="both"/>
        <w:rPr/>
      </w:pPr>
      <w:r>
        <w:rPr>
          <w:rFonts w:ascii="Times New Roman;serif" w:hAnsi="Times New Roman;serif"/>
          <w:b/>
          <w:color w:val="000000"/>
          <w:sz w:val="22"/>
        </w:rPr>
        <w:t>1.08</w:t>
      </w:r>
      <w:r>
        <w:rPr>
          <w:rFonts w:ascii="Times New Roman;serif" w:hAnsi="Times New Roman;serif"/>
          <w:b/>
          <w:color w:val="000000"/>
          <w:sz w:val="22"/>
          <w:u w:val="single"/>
        </w:rPr>
        <w:t>Exchange Rates; Currency Equivalents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Administrative Agent or the L/C Issuers, as applicable, shall determine the Dollar Equivalent amounts of Credit Extensions and Outstanding Amounts denominated in Alternative Currencies. Such Dollar Equivalent shall become effective as of such Revaluation Date and shall be the Dollar Equivalent of such amounts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L/C Issuers,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85445"/>
                <wp:effectExtent l="0" t="0" r="0" b="0"/>
                <wp:wrapNone/>
                <wp:docPr id="83" name="Frame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(b)Wherever in this Agreement in connection with a Borrowing, conversion, continuation or prepayment of an Alternative Currency Loan or the issuance, amendment or extension of a Letter of Credit, an amount, such as a required minimum or multiple amount, is expressed in Dollars, but such Borrowing, Alternative Currency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L/C Issuer, as the case may be.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(c)The Administrative Agent does not warrant, nor accept responsibility, nor shall the Administrative Agent have any liability with respect to the administration, submission or any other matter related to any reference rate referred to herein, the selection of rates, any related spread or adjustment or with respect to any rate that is an alternative or replacement for or successor to any of such rates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without limitation, any Successor Rate) ( or any component of any of the foregoing),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(d)By agreeing to make Loans under this Agreement, each Lender is confirming it has all licenses permits and approvals necessary for use of the reference rates referred to herein as provided for in this Agreement and it will comply with, preserve, renew and keep in full force and effect such licenses, permits and approvals for use of such rates under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1.09</w:t>
      </w:r>
      <w:r>
        <w:rPr>
          <w:rFonts w:ascii="Times New Roman;serif" w:hAnsi="Times New Roman;serif"/>
          <w:b/>
          <w:color w:val="000000"/>
          <w:sz w:val="22"/>
          <w:u w:val="single"/>
        </w:rPr>
        <w:t>Additional Alternative Currencies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(a)The Company may from time to time request that Alternative Currency Loans be made and/or Letters of Credit be issued in a currency other than those specifically listed in the definition of “Alternative Currency”;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such requested currency is an Eligible Currency. In the case of any such request with respect to the making of Alternative Currency Loans, such request shall be subject to the approval of the Administrative Agent and each Lender with a Commitment under which such currency is requested to be made available; and in the case of any such request with respect to the issuance of Letters of Credit, such request shall be subject to the approval of the Administrative Agent and the applicable L/C Issuer.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(b)Any such request shall be made to the Administrative Agent not later than 11:00 a.m., twenty (20) Business Days prior to the date of the desired Credit Extension (or such other time or date as may be agreed by the Administrative Agent and, in the case of any such request pertaining to Letters of Credit, the L/C Issuers, in its or their sole discretion). In the case of any such request pertaining to Alternative Currency Loans, the Administrative Agent shall promptly notify each Appropriate Lender thereof; and in the case of any such request pertaining to Letters of Credit, the Administrative Agent shall promptly notify the L/C Issuers thereof. Each Appropriate Lender (in the case of any such request pertaining to Alternative Currency Loans) or the L/C Issuers (in the case of a request pertaining to Letters of Credit) shall notify the Administrative Agent, not later than 11:00 a.m., ten (10) Business Days after receipt of such request whether it consents, in its sole discretion, to the making of Alternative Currency Loans or the issuance of Letters of Credit, as the case may be, in such requested currency.</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85445"/>
                <wp:effectExtent l="0" t="0" r="0" b="0"/>
                <wp:wrapNone/>
                <wp:docPr id="84" name="Frame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(c)Any failure by a Lender or the L/C Issuer, as the case may be, to respond to such request within the time period specified in the preceding sentence shall be deemed to be a refusal by such Lender or the L/C Issuer, as the case may be, to permit Alternative Currency Loans to be made or Letters of Credit to be issued in such requested currency. If the Administrative Agent and all the Lenders consent to making Alternative Currency Loans in such requested currency and the Administrative Agent and such Lenders reasonably determine that an appropriate interest rate is available to be used for such requested currency, the Administrative Agent shall so notify the Company and (i) the Administrative Agent and such Lenders may amend the definition of Alternative Currency Daily Rate or Alternative Currency Term Rate to the extent necessary to add the applicable rate for such currency and any applicable adjustment for such rate and (ii) to the extent the definition of Alternative Currency Daily Rate or Alternative Currency Term Rate, as applicable, has been amended to reflect the appropriate rate for such currency, such currency shall thereupon be deemed for all purposes to be an Alternative Currency for purposes of any Borrowings of Alternative Currency Loans. If the Administrative Agent and the L/C Issuer consent to the issuance of Letters of Credit in such requested currency, the Administrative Agent shall so notify the Company and (iii) the Administrative Agent and the L/C Issuer may amend the definition of Alternative Currency Daily Rate or Alternative Currency Term Rate, as applicable, to the extent necessary to add the applicable rate for such currency and any applicable adjustment for such rate and (iv) to the extent the definition of Alternative Currency Daily Rate or Alternative Currency Term Rate, as applicable, has been amended to reflect the appropriate rate for such currency, such currency shall thereupon be deemed for all purposes to be an Alternative Currency, for purposes of any Letter of Credit issuances. If the Administrative Agent shall fail to obtain consent to any request for an additional currency under this Section 1.09, the Administrative Agent shall promptly so notify the Company. Any specified currency of an Existing Letter of Credit that is neither Dollars nor one of the Alternative Currencies specifically listed in the definition of “Alternative Currency” shall be deemed an Alternative Currency with respect to such Existing Letter of Credit only.</w:t>
      </w:r>
    </w:p>
    <w:p>
      <w:pPr>
        <w:pStyle w:val="TextBody"/>
        <w:bidi w:val="0"/>
        <w:spacing w:lineRule="auto" w:line="240" w:before="0" w:after="240"/>
        <w:ind w:left="0" w:right="0" w:firstLine="720"/>
        <w:jc w:val="both"/>
        <w:rPr/>
      </w:pPr>
      <w:r>
        <w:rPr>
          <w:rFonts w:ascii="Times New Roman;serif" w:hAnsi="Times New Roman;serif"/>
          <w:b/>
          <w:color w:val="000000"/>
          <w:sz w:val="22"/>
        </w:rPr>
        <w:t>1.10</w:t>
      </w:r>
      <w:r>
        <w:rPr>
          <w:rFonts w:ascii="Times New Roman;serif" w:hAnsi="Times New Roman;serif"/>
          <w:b/>
          <w:color w:val="000000"/>
          <w:sz w:val="22"/>
          <w:u w:val="single"/>
        </w:rPr>
        <w:t>Change of Currency</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(a)Each obligation of the Borrowers to make a payment denominated in the national currency unit of any member state of the European Union that adopts the Euro as its lawful currency after the Closing Date shall be redenominated into Euro at the time of such adoption. If, in relation to the currency of any such member state, the basis of accrual of interest expressed in this Agreement in respect of that currency shall be inconsistent with any convention or practice in the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if any Borrowing in the currency of such member state is outstanding immediately prior to such date, such replacement shall take effect, with respect to such Borrowing, at the end of the then current Interest Period.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pStyle w:val="TextBody"/>
        <w:bidi w:val="0"/>
        <w:spacing w:lineRule="auto" w:line="240" w:before="0" w:after="240"/>
        <w:ind w:left="0" w:right="0" w:firstLine="720"/>
        <w:jc w:val="both"/>
        <w:rPr/>
      </w:pPr>
      <w:r>
        <w:rPr>
          <w:rFonts w:ascii="Times New Roman;serif" w:hAnsi="Times New Roman;serif"/>
          <w:b/>
          <w:color w:val="000000"/>
          <w:sz w:val="22"/>
        </w:rPr>
        <w:t>1.11</w:t>
      </w:r>
      <w:r>
        <w:rPr>
          <w:rFonts w:ascii="Times New Roman;serif" w:hAnsi="Times New Roman;serif"/>
          <w:b/>
          <w:color w:val="000000"/>
          <w:sz w:val="22"/>
          <w:u w:val="single"/>
        </w:rPr>
        <w:t>Quebec Interpretation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For purposes of any assets, liabilities or entities located in the Province of Quebec and for all other purposes pursuant to which the interpretation or construction of this Agreement may be subject to the laws of the Province of Quebec or a court or tribunal exercising jurisdiction in the Province of Quebec, (a) “personal property” shall include “movable property”, (b) “real property” or “real estate”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85445"/>
                <wp:effectExtent l="0" t="0" r="0" b="0"/>
                <wp:wrapNone/>
                <wp:docPr id="85" name="Frame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shall include “immovable property”, (c) “tangible property” shall include “corporeal property”, (d) “intangible property” shall include “incorporeal property”, (e) “security interest”, “mortgage” and “lien” shall include a “hypothec”, “right of retention”, “prior claim”, “reservation of ownership” and a resolutory clause, (f) all references to filing, perfection, priority, remedies, registering or recordings under the Uniform Commercial Code or any PPSA shall include publication under the Civil Code of Quebec, (g) all references to “perfection” of or “perfected” liens or security interest shall include a reference to an “opposable” or “set up” hypothec as against third parties, (h) any “right of offset”, “right of setoff” or similar expression shall include a “right of compensation”, (i) “goods” shall include “corporeal movable property” other than chattel paper, documents of title, instruments, money and securities, (j) an “agent” shall include a “mandatary”, (k) “construction liens” or “mechanics, materialmen, repairmen, construction contractors or other like Liens” shall include “legal hypothecs” and “legal hypothecs in favor of persons having taken part in the construction or renovation of an immovable”, (l) “joint and several” shall include “solidary”, (m) “gross negligence or willful misconduct” shall be deemed to be “intentional or gross fault”, (n) “beneficial ownership” shall include “ownership on behalf of another as mandatary”, (o) “easement” shall include “servitude”, (p) “priority” shall include “rank” or “prior claim”, as applicable (q) “survey” shall include “certificate of location and plan”, (r) “state” shall include “province”, (s) “fee simple title” shall include “absolute ownership” and “ownership” (including ownership under a right of superficies), (t) “accounts” shall include “claims”, (u) “legal title” shall be including “holding title on behalf of an owner as mandatory or prete-nom”, (v) “ground lease” shall include “emphyteusis” or a “lease with a right of superficies, as applicable, (w) “leasehold interest” shall include a “valid lease”, (x) “lease” shall include a “leasing contract” and (y) “guarantee” and “guarantor” shall include “suretyship” and “surety”, respectively. The parties hereto confirm that it is their wish that this Agreement and any other document executed in connection with the transactions contemplated herein be drawn up in the English language only (except if another language is required under any applicable law) and that all other documents contemplated thereunder or relating thereto, including notices, may also be drawn up in the English language only. Les parties aux présentes confirment que c’est leur volonté que cette convention et les autres documents de crédit soient rédigés en langue anglaise seulement et que tous les documents, y compris tous avis, envisagés par cette convention et les autres documents peuvent être rédigés en langue anglaise seulement (sauf si une autre langue est requise en vertu d’une loi applicable).</w:t>
      </w:r>
    </w:p>
    <w:p>
      <w:pPr>
        <w:pStyle w:val="TextBody"/>
        <w:bidi w:val="0"/>
        <w:spacing w:lineRule="auto" w:line="240" w:before="0" w:after="240"/>
        <w:jc w:val="center"/>
        <w:rPr/>
      </w:pPr>
      <w:r>
        <w:rPr>
          <w:rFonts w:ascii="Times New Roman;serif" w:hAnsi="Times New Roman;serif"/>
          <w:b/>
          <w:color w:val="000000"/>
          <w:sz w:val="22"/>
        </w:rPr>
        <w:t>Article II</w:t>
      </w:r>
      <w:r>
        <w:rPr>
          <w:rFonts w:ascii="Times New Roman;serif" w:hAnsi="Times New Roman;serif"/>
          <w:b/>
          <w:color w:val="000000"/>
          <w:sz w:val="22"/>
        </w:rPr>
        <w:br/>
        <w:br/>
        <w:t>COMMITMENTS AND CREDIT EXTENSIONS</w:t>
      </w:r>
    </w:p>
    <w:p>
      <w:pPr>
        <w:pStyle w:val="TextBody"/>
        <w:bidi w:val="0"/>
        <w:spacing w:lineRule="auto" w:line="240" w:before="0" w:after="240"/>
        <w:ind w:left="0" w:right="0" w:firstLine="720"/>
        <w:jc w:val="both"/>
        <w:rPr/>
      </w:pPr>
      <w:r>
        <w:rPr>
          <w:rFonts w:ascii="Times New Roman;serif" w:hAnsi="Times New Roman;serif"/>
          <w:b/>
          <w:color w:val="000000"/>
          <w:sz w:val="22"/>
        </w:rPr>
        <w:t>2.01</w:t>
      </w:r>
      <w:r>
        <w:rPr>
          <w:rFonts w:ascii="Times New Roman;serif" w:hAnsi="Times New Roman;serif"/>
          <w:b/>
          <w:color w:val="000000"/>
          <w:sz w:val="22"/>
          <w:u w:val="single"/>
        </w:rPr>
        <w:t>Loans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Term Borrowing</w:t>
      </w:r>
      <w:r>
        <w:rPr>
          <w:rFonts w:ascii="Times New Roman;serif" w:hAnsi="Times New Roman;serif"/>
          <w:b w:val="false"/>
          <w:color w:val="000000"/>
          <w:sz w:val="22"/>
        </w:rPr>
        <w:t>. Subject to the terms and conditions set forth herein, each Term Lender severally agrees to make a single loan to the Company, in Dollars, on the Closing Date in an amount not to exceed such Term Lender’s Applicable Percentage of the Term Facility. The Term Borrowing shall consist of Term Loans made simultaneously by the Term Lenders in accordance with their respective Applicable Percentage of the Term Facility. Term Borrowings repaid or prepaid may not be reborrowed. Term Loans may be Base Rate Loans, Daily SOFR Loans or Term SOFR Loans, as further provided herein.</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Revolving Borrowings</w:t>
      </w:r>
      <w:r>
        <w:rPr>
          <w:rFonts w:ascii="Times New Roman;serif" w:hAnsi="Times New Roman;serif"/>
          <w:b w:val="false"/>
          <w:color w:val="000000"/>
          <w:sz w:val="22"/>
        </w:rPr>
        <w:t>. Subject to the terms and conditions set forth herein, each Revolving Lender severally agrees to make loans (each such loan, a “</w:t>
      </w:r>
      <w:r>
        <w:rPr>
          <w:rFonts w:ascii="Times New Roman;serif" w:hAnsi="Times New Roman;serif"/>
          <w:b w:val="false"/>
          <w:i/>
          <w:color w:val="000000"/>
          <w:sz w:val="22"/>
          <w:u w:val="single"/>
        </w:rPr>
        <w:t>Revolving Loan</w:t>
      </w:r>
      <w:r>
        <w:rPr>
          <w:color w:val="000000"/>
        </w:rPr>
        <w:t>”</w:t>
      </w:r>
      <w:r>
        <w:rPr>
          <w:rFonts w:ascii="Times New Roman;serif" w:hAnsi="Times New Roman;serif"/>
          <w:b w:val="false"/>
          <w:color w:val="000000"/>
          <w:sz w:val="22"/>
        </w:rPr>
        <w:t xml:space="preserve">) to each of the Borrowers, in Dollars or in one or more Alternative Currencies, from time to time, on any Business Day during the Availability Period, in an aggregate amount not to exceed at any time outstanding the amount of such Lender’s Revolving Commitment; </w:t>
      </w:r>
      <w:r>
        <w:rPr>
          <w:rFonts w:ascii="Times New Roman;serif" w:hAnsi="Times New Roman;serif"/>
          <w:b w:val="false"/>
          <w:i/>
          <w:color w:val="000000"/>
          <w:sz w:val="22"/>
        </w:rPr>
        <w:t>provided</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after giving effect to any Revolving Borrowing, (i) the Total Revolving Outstandings shall not exceed the Revolving Facility, (ii) the Revolving Exposure of any Lender shall not exceed such Revolving Lender’s Revolving Commitment, (iii) the aggregate Outstanding Amount of all Loans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85445"/>
                <wp:effectExtent l="0" t="0" r="0" b="0"/>
                <wp:wrapNone/>
                <wp:docPr id="86" name="Frame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made to the Designated Borrowers shall not exceed the Designated Borrower Sublimit, and (iv) the aggregate Outstanding Amount of all Loans denominated in Alternative Currencies shall not exceed the Alternative Currency Sublimit. Within the limits of each Revolving Lender’s Revolving Commitment, and subject to the other terms and conditions hereof, the Borrowers may borrow Revolving Loans, prepay under </w:t>
      </w:r>
      <w:r>
        <w:rPr>
          <w:rFonts w:ascii="Times New Roman;serif" w:hAnsi="Times New Roman;serif"/>
          <w:b w:val="false"/>
          <w:color w:val="000000"/>
          <w:sz w:val="22"/>
          <w:u w:val="single"/>
        </w:rPr>
        <w:t>Section 2.05</w:t>
      </w:r>
      <w:r>
        <w:rPr>
          <w:rFonts w:ascii="Times New Roman;serif" w:hAnsi="Times New Roman;serif"/>
          <w:b w:val="false"/>
          <w:color w:val="000000"/>
          <w:sz w:val="22"/>
        </w:rPr>
        <w:t xml:space="preserve">, and reborrow under this </w:t>
      </w:r>
      <w:r>
        <w:rPr>
          <w:rFonts w:ascii="Times New Roman;serif" w:hAnsi="Times New Roman;serif"/>
          <w:b w:val="false"/>
          <w:color w:val="000000"/>
          <w:sz w:val="22"/>
          <w:u w:val="single"/>
        </w:rPr>
        <w:t>Section 2.01(b)</w:t>
      </w:r>
      <w:r>
        <w:rPr>
          <w:rFonts w:ascii="Times New Roman;serif" w:hAnsi="Times New Roman;serif"/>
          <w:b w:val="false"/>
          <w:color w:val="000000"/>
          <w:sz w:val="22"/>
        </w:rPr>
        <w:t xml:space="preserve">. Revolving Loans may be Alternative Currency Loans, Base Rate Loans, Daily SOFR Loans or Term SOFR Loans, as further provided herein,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 xml:space="preserve">that Alternative Currency Loans will be Alternative Currency Daily Rate Loans or Alternative Currency Term Rate Loans. For the Seasonal Decrease Period, the aggregate Revolving Commitments shall be reduced to the Seasonal Decrease Amount;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solely for purposes of determining the unused Revolving Commitments in connection with the definition of Required Lenders, the foregoing reduction shall be disregarded.</w:t>
      </w:r>
    </w:p>
    <w:p>
      <w:pPr>
        <w:pStyle w:val="TextBody"/>
        <w:bidi w:val="0"/>
        <w:spacing w:lineRule="auto" w:line="240" w:before="0" w:after="240"/>
        <w:ind w:left="0" w:right="0" w:firstLine="720"/>
        <w:jc w:val="both"/>
        <w:rPr/>
      </w:pPr>
      <w:r>
        <w:rPr>
          <w:rFonts w:ascii="Times New Roman;serif" w:hAnsi="Times New Roman;serif"/>
          <w:b/>
          <w:color w:val="000000"/>
          <w:sz w:val="22"/>
        </w:rPr>
        <w:t>2.02</w:t>
      </w:r>
      <w:r>
        <w:rPr>
          <w:rFonts w:ascii="Times New Roman;serif" w:hAnsi="Times New Roman;serif"/>
          <w:b/>
          <w:color w:val="000000"/>
          <w:sz w:val="22"/>
          <w:u w:val="single"/>
        </w:rPr>
        <w:t>Borrowings, Conversions and Continuations of Loans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Notice of Borrowing</w:t>
      </w:r>
      <w:r>
        <w:rPr>
          <w:rFonts w:ascii="Times New Roman;serif" w:hAnsi="Times New Roman;serif"/>
          <w:b w:val="false"/>
          <w:color w:val="000000"/>
          <w:sz w:val="22"/>
        </w:rPr>
        <w:t xml:space="preserve">. Each Borrowing, each conversion of Loans from one Type to the other, and each continuation of a Term SOFR Loan or an Alternative Currency Term Rate Loan shall be made upon the applicable Borrower’s irrevocable notice to the Administrative Agent, which may be given by: (i) telephone or (ii) a Loan Notice;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any telephonic notice must be confirmed immediately by delivery to the Administrative Agent of a Loan Notice. Each such Loan Notice must be received by the Administrative Agent not later than 11:00 a.m. (A) two (2) Business Days prior to the requested date of any Borrowing of Term SOFR Loans, conversion to Daily SOFR Loans or Term SOFR Loans, continuation of Term SOFR Loans or of any conversion of Term SOFR Loans to Daily SOFR Loans or Base Rate Loans, (B) four (4) Business Days (or three (3) Business Days in the case of Term CORRA Rate Loans, or five (5) Business Days in the case of a Special Notice Currency)</w:t>
      </w:r>
      <w:r>
        <w:rPr>
          <w:color w:val="000000"/>
        </w:rPr>
        <w:t xml:space="preserve"> </w:t>
      </w:r>
      <w:r>
        <w:rPr>
          <w:rFonts w:ascii="Times New Roman;serif" w:hAnsi="Times New Roman;serif"/>
          <w:b w:val="false"/>
          <w:color w:val="000000"/>
          <w:sz w:val="22"/>
        </w:rPr>
        <w:t xml:space="preserve">prior to the requested date of any Borrowing or continuation of Alternative Currency Loans, and (C) on the requested date of any Borrowing of Daily SOFR Loans or Base Rate Loans or conversion of Daily SOFR Loans to Base Rate Loans;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if the applicable Borrower wishes to request Alternative Currency Term Rate Loans or Term SOFR Loans having an Interest Period other than one or three months in duration as provided in the definition of “Interest Period,” the applicable notice must be received by the Administrative Agent not later than 11:00 a.m. (x) four Business Days prior to the requested date of such Borrowing, conversion or continuation of a Term SOFR Loan or (y) five Business Days (or six Business Days in the case of a Special Notice Currency) prior to the requested date of such Borrowing, conversion or continuation of Alternative Currency Term Rate Loans, whereupon the Administrative Agent shall give prompt notice to the Lenders of such request and determine whether the requested Interest Period is acceptable to all of them. Each Borrowing of, conversion to or continuation of Term SOFR Loans, each Borrowing, of or conversion to Daily SOFR Loans and each Borrowing of, conversion or continuation of an Alternative Currency Loan shall be in a principal amount of the Dollar Equivalent of $2,000,000 or a whole multiple of the Dollar Equivalent of $1,000,000 in excess thereof (or, in connection with any conversion or continuation of a Term Loan, if less, the entire principal thereof then outstanding). Except as provided in </w:t>
      </w:r>
      <w:r>
        <w:rPr>
          <w:rFonts w:ascii="Times New Roman;serif" w:hAnsi="Times New Roman;serif"/>
          <w:b w:val="false"/>
          <w:color w:val="000000"/>
          <w:sz w:val="22"/>
          <w:u w:val="single"/>
        </w:rPr>
        <w:t>Sections</w:t>
      </w:r>
      <w:r>
        <w:rPr>
          <w:color w:val="000000"/>
        </w:rPr>
        <w:t xml:space="preserve"> </w:t>
      </w:r>
      <w:r>
        <w:rPr>
          <w:rFonts w:ascii="Times New Roman;serif" w:hAnsi="Times New Roman;serif"/>
          <w:b w:val="false"/>
          <w:color w:val="000000"/>
          <w:sz w:val="22"/>
          <w:u w:val="single"/>
        </w:rPr>
        <w:t xml:space="preserve">2.03(f) </w:t>
      </w:r>
      <w:r>
        <w:rPr>
          <w:rFonts w:ascii="Times New Roman;serif" w:hAnsi="Times New Roman;serif"/>
          <w:b w:val="false"/>
          <w:color w:val="000000"/>
          <w:sz w:val="22"/>
        </w:rPr>
        <w:t>and </w:t>
      </w:r>
      <w:r>
        <w:rPr>
          <w:rFonts w:ascii="Times New Roman;serif" w:hAnsi="Times New Roman;serif"/>
          <w:b w:val="false"/>
          <w:color w:val="000000"/>
          <w:sz w:val="22"/>
          <w:u w:val="single"/>
        </w:rPr>
        <w:t>2.04(c)</w:t>
      </w:r>
      <w:r>
        <w:rPr>
          <w:rFonts w:ascii="Times New Roman;serif" w:hAnsi="Times New Roman;serif"/>
          <w:b w:val="false"/>
          <w:color w:val="000000"/>
          <w:sz w:val="22"/>
        </w:rPr>
        <w:t xml:space="preserve">, each Borrowing of or conversion to Base Rate Loans shall be in a principal amount of the Dollar Equivalent of $500,000 or a whole multiple of the Dollar Equivalent of $100,000 in excess thereof (or, in connection with any conversion or continuation of a Term Loan, if less, the entire principal thereof then outstanding). Each Loan Notice and each telephonic notice shall specify (I) the applicable Facility and whether the applicable Borrower is requesting a Borrowing, a conversion of Loans from one Type to the other, or a continuation of Loans, as the case may be, under such Facility, (II) the requested date of the Borrowing, conversion or continuation, as the case may be (which shall be a Business Day), (III) the principal amount of Loans to be borrowed, converted or continued, (IV) the Type of Loans to be borrowed or to which existing Loans are to be converted, (V) if applicable, the duration of the Interest Period with respect thereto, (VI) the currency of the Loans to be borrowed, and (VII) if applicable, the Designated Borrower. If any Borrower fails to specify a currency in a Loan Notice requesting a Borrowing, then the Loans so requested shall be made in Dollars. If any Borrower fails to specify a Type of Loan in a Loan Notice or if any Borrower fails to give a timely notice requesting a conversion or continuation, then the applicable Loans shall be made as, or converted to, Base Rate Loans;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in the case of a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85445"/>
                <wp:effectExtent l="0" t="0" r="0" b="0"/>
                <wp:wrapNone/>
                <wp:docPr id="87" name="Frame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failure to timely request a continuation of Term SOFR Loans or Alternative Currency Term Rate Loans, such Loans shall be continued as Term SOFR Loans or Alternative Currency Term Rate Loans, respectively, in their original currency with an Interest Period of one (1) month. If any Borrower requests a Borrowing of, conversion to, or continuation of Term SOFR Loans or Alternative Currency Term Rate Loans in any such Loan Notice, but fails to specify an Interest Period, it will be deemed to have specified an Interest Period of one (1) month. Notwithstanding anything to the contrary herein, a Swingline Loan may not be converted to a Term SOFR Loan, Daily SOFR Loan or Alternative Currency Loan. Except as provided pursuant to </w:t>
      </w:r>
      <w:r>
        <w:rPr>
          <w:rFonts w:ascii="Times New Roman;serif" w:hAnsi="Times New Roman;serif"/>
          <w:b w:val="false"/>
          <w:color w:val="000000"/>
          <w:sz w:val="22"/>
          <w:u w:val="single"/>
        </w:rPr>
        <w:t>Section 2.12(a</w:t>
      </w:r>
      <w:r>
        <w:rPr>
          <w:rFonts w:ascii="Times New Roman;serif" w:hAnsi="Times New Roman;serif"/>
          <w:b w:val="false"/>
          <w:color w:val="000000"/>
          <w:sz w:val="22"/>
        </w:rPr>
        <w:t>), no Loan may be converted into or continued as a Loan denominated in a different currency, but instead must be repaid in the original currency of such Loan and reborrowed in the other currency.</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Advances</w:t>
      </w:r>
      <w:r>
        <w:rPr>
          <w:rFonts w:ascii="Times New Roman;serif" w:hAnsi="Times New Roman;serif"/>
          <w:b w:val="false"/>
          <w:color w:val="000000"/>
          <w:sz w:val="22"/>
        </w:rPr>
        <w:t xml:space="preserve">. Following receipt of a Loan Notice for a Facility, the Administrative Agent shall promptly notify each Appropriate Lender of the amount (and currency) of its Applicable Percentage under such Facility of the applicable Loans, and if no timely notice of a conversion or continuation is provided by the applicable Borrower, the Administrative Agent shall notify each Appropriate Lender of the details of any automatic conversion to Base Rate Loans or continuation of Loans denominated in a currency other than Dollars, in each case as described in </w:t>
      </w:r>
      <w:r>
        <w:rPr>
          <w:rFonts w:ascii="Times New Roman;serif" w:hAnsi="Times New Roman;serif"/>
          <w:b w:val="false"/>
          <w:color w:val="000000"/>
          <w:sz w:val="22"/>
          <w:u w:val="single"/>
        </w:rPr>
        <w:t>Section 2.02(a</w:t>
      </w:r>
      <w:r>
        <w:rPr>
          <w:rFonts w:ascii="Times New Roman;serif" w:hAnsi="Times New Roman;serif"/>
          <w:b w:val="false"/>
          <w:color w:val="000000"/>
          <w:sz w:val="22"/>
        </w:rPr>
        <w:t xml:space="preserve">). In the case of a Borrowing, each Appropriate Lender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Loan in an Alternative Currency, in each case on the Business Day specified in the applicable Loan Notice. Upon satisfaction of the applicable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(and, if such Borrowing is the initial Credit Extension, </w:t>
      </w:r>
      <w:r>
        <w:rPr>
          <w:rFonts w:ascii="Times New Roman;serif" w:hAnsi="Times New Roman;serif"/>
          <w:b w:val="false"/>
          <w:color w:val="000000"/>
          <w:sz w:val="22"/>
          <w:u w:val="single"/>
        </w:rPr>
        <w:t>Section 4.01</w:t>
      </w:r>
      <w:r>
        <w:rPr>
          <w:rFonts w:ascii="Times New Roman;serif" w:hAnsi="Times New Roman;serif"/>
          <w:b w:val="false"/>
          <w:color w:val="000000"/>
          <w:sz w:val="22"/>
        </w:rPr>
        <w:t xml:space="preserve">), the Administrative Agent shall make all funds so received available to the applicable Borrower in like funds as received by the Administrative Agent either by (i) crediting the account of the applicable Borrower on the books of Bank of America with the amount of such funds or (ii) wire transfer of such funds, in each case in accordance with instructions provided to (and reasonably acceptable to) the Administrative Agent by the applicable Borrower;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if, on the date a Loan Notice with respect to a Revolving Borrowing denominated in Dollars is given by any Borrower, there are L/C Borrowings outstanding, then the proceeds of such Revolving Borrowing, </w:t>
      </w:r>
      <w:r>
        <w:rPr>
          <w:rFonts w:ascii="Times New Roman;serif" w:hAnsi="Times New Roman;serif"/>
          <w:b w:val="false"/>
          <w:i/>
          <w:color w:val="000000"/>
          <w:sz w:val="22"/>
          <w:u w:val="single"/>
        </w:rPr>
        <w:t>first</w:t>
      </w:r>
      <w:r>
        <w:rPr>
          <w:rFonts w:ascii="Times New Roman;serif" w:hAnsi="Times New Roman;serif"/>
          <w:b w:val="false"/>
          <w:color w:val="000000"/>
          <w:sz w:val="22"/>
        </w:rPr>
        <w:t xml:space="preserve">, shall be applied to the payment in full of any such L/C Borrowings, and </w:t>
      </w:r>
      <w:r>
        <w:rPr>
          <w:rFonts w:ascii="Times New Roman;serif" w:hAnsi="Times New Roman;serif"/>
          <w:b w:val="false"/>
          <w:i/>
          <w:color w:val="000000"/>
          <w:sz w:val="22"/>
          <w:u w:val="single"/>
        </w:rPr>
        <w:t>second</w:t>
      </w:r>
      <w:r>
        <w:rPr>
          <w:rFonts w:ascii="Times New Roman;serif" w:hAnsi="Times New Roman;serif"/>
          <w:b w:val="false"/>
          <w:color w:val="000000"/>
          <w:sz w:val="22"/>
        </w:rPr>
        <w:t>, shall be made available to the applicable Borrower as provided above.</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Term SOFR Loans; Daily SOFR Loans; Alternative Currency Term Rate Loans</w:t>
      </w:r>
      <w:r>
        <w:rPr>
          <w:rFonts w:ascii="Times New Roman;serif" w:hAnsi="Times New Roman;serif"/>
          <w:b w:val="false"/>
          <w:color w:val="000000"/>
          <w:sz w:val="22"/>
        </w:rPr>
        <w:t>. Except as otherwise provided herein, a Term SOFR Loan or an Alternative Currency Term Rate Loan may be continued or converted only on the last day of an Interest Period for such Term SOFR Loan or Alternative Currency Term Rate Loan. During the existence of a Default, no Loans may be requested as, or converted to, Alternative Currency Daily Rate Loans or Daily SOFR Loans or requested as, converted to or continued as Term SOFR Loans or Alternative Currency Term Rate Loans without the consent of the Required Lenders, and the Required Lenders may demand that any or all of the then outstanding Alternative Currency Loans be prepaid, or redenominated into Dollars in the amount of the Dollar Equivalent thereof, either immediately (in the case of Alternative Currency Daily Rate Loans) or on the last day of the then current Interest Period with respect thereto (in the case of Alternative Currency Term Rate Loans).</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Interest Rates</w:t>
      </w:r>
      <w:r>
        <w:rPr>
          <w:rFonts w:ascii="Times New Roman;serif" w:hAnsi="Times New Roman;serif"/>
          <w:b w:val="false"/>
          <w:color w:val="000000"/>
          <w:sz w:val="22"/>
        </w:rPr>
        <w:t>. Each determination of an interest rate by the Administrative Agent pursuant to any provision of this Agreement shall be conclusive and binding on the Borrowers and the Lenders in the absence of manifest error. The Administrative Agent shall promptly notify the Borrowers and the Lenders of the interest rate applicable to any Interest Period for Term SOFR Loans upon determination of such interest rate.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Interest Periods</w:t>
      </w:r>
      <w:r>
        <w:rPr>
          <w:rFonts w:ascii="Times New Roman;serif" w:hAnsi="Times New Roman;serif"/>
          <w:b w:val="false"/>
          <w:color w:val="000000"/>
          <w:sz w:val="22"/>
        </w:rPr>
        <w:t xml:space="preserve">. After giving effect to all Term SOFR Loans and Alternative Currency Term Rate Loans and all continuations of Term SOFR Loans and Alternative Currency Term Rate Loans as the same Type, there shall not be more than ten Interest Periods in effect in respect of the Facility.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85445"/>
                <wp:effectExtent l="0" t="0" r="0" b="0"/>
                <wp:wrapNone/>
                <wp:docPr id="88" name="Frame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Cashless Settlement Mechanism</w:t>
      </w:r>
      <w:r>
        <w:rPr>
          <w:rFonts w:ascii="Times New Roman;serif" w:hAnsi="Times New Roman;serif"/>
          <w:b w:val="false"/>
          <w:color w:val="000000"/>
          <w:sz w:val="22"/>
        </w:rPr>
        <w:t>. Notwithstanding anything to the contrary in this Agreement, any Lender may exchange, continue or rollover all or the portion of its Loans in connection with any refinancing, extension, loan modification or similar transaction permitted by the terms of this Agreement, pursuant to a cashless settlement mechanism approved by the Borrowers, the Administrative Agent and such Lender.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Conforming Changes</w:t>
      </w:r>
      <w:r>
        <w:rPr>
          <w:rFonts w:ascii="Times New Roman;serif" w:hAnsi="Times New Roman;serif"/>
          <w:b w:val="false"/>
          <w:color w:val="000000"/>
          <w:sz w:val="22"/>
        </w:rPr>
        <w:t>. With respect to any Alternative Currency Term Rate Loans, any Alternative Currency Daily Rate, Daily SOFR, Term SOFR or SOFR, the Administrative Agent will have the right to make Conforming Changes (in consultation with the Company) from time to time and, notwithstanding anything to the contrary herein or in any other Loan Document, any amendments implementing such Conforming Changes will become effective without any further action or consent of any other party to this Agreement or any other Loan Document; provided that, with respect to any such amendment effected, the Administrative Agent shall post each such amendment implementing such Conforming Changes to the Borrowers and the Lenders reasonably promptly after such amendment becomes effective.</w:t>
      </w:r>
    </w:p>
    <w:p>
      <w:pPr>
        <w:pStyle w:val="TextBody"/>
        <w:bidi w:val="0"/>
        <w:spacing w:lineRule="auto" w:line="240" w:before="0" w:after="240"/>
        <w:ind w:left="0" w:right="0" w:firstLine="720"/>
        <w:jc w:val="both"/>
        <w:rPr/>
      </w:pPr>
      <w:r>
        <w:rPr>
          <w:rFonts w:ascii="Times New Roman;serif" w:hAnsi="Times New Roman;serif"/>
          <w:b/>
          <w:color w:val="000000"/>
          <w:sz w:val="22"/>
        </w:rPr>
        <w:t>2.03</w:t>
      </w:r>
      <w:r>
        <w:rPr>
          <w:rFonts w:ascii="Times New Roman;serif" w:hAnsi="Times New Roman;serif"/>
          <w:b/>
          <w:color w:val="000000"/>
          <w:sz w:val="22"/>
          <w:u w:val="single"/>
        </w:rPr>
        <w:t>Letters of Credit</w:t>
      </w:r>
      <w:r>
        <w:rPr>
          <w:rFonts w:ascii="Times New Roman;serif" w:hAnsi="Times New Roman;serif"/>
          <w:b/>
          <w:color w:val="000000"/>
          <w:sz w:val="22"/>
        </w:rPr>
        <w:t>.</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The Letter of Credit Commitment</w:t>
      </w:r>
      <w:r>
        <w:rPr>
          <w:rFonts w:ascii="Times New Roman;serif" w:hAnsi="Times New Roman;serif"/>
          <w:b w:val="false"/>
          <w:color w:val="000000"/>
          <w:sz w:val="22"/>
        </w:rPr>
        <w:t xml:space="preserve">. Subject to the terms and conditions set forth herein, in addition to the Loans provided for in </w:t>
      </w:r>
      <w:r>
        <w:rPr>
          <w:rFonts w:ascii="Times New Roman;serif" w:hAnsi="Times New Roman;serif"/>
          <w:b w:val="false"/>
          <w:color w:val="000000"/>
          <w:sz w:val="22"/>
          <w:u w:val="single"/>
        </w:rPr>
        <w:t>Section 2.01</w:t>
      </w:r>
      <w:r>
        <w:rPr>
          <w:rFonts w:ascii="Times New Roman;serif" w:hAnsi="Times New Roman;serif"/>
          <w:b w:val="false"/>
          <w:color w:val="000000"/>
          <w:sz w:val="22"/>
        </w:rPr>
        <w:t xml:space="preserve">, the Company may request that any L/C Issuer, in reliance on the agreements of the Revolving Lenders set forth in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 issue, at any time and from time to time during the Availability Period, Letters of Credit denominated in Dollars or in one or more Alternative Currencies for its own account or the account of any of its Subsidiaries in such form as is acceptable to the Administrative Agent and such L/C Issuer in its reasonable determination. Letters of Credit issued hereunder shall constitute utilization of the Revolving Commitments.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Notice of Issuance, Amendment, Extension, Reinstatement or Renewal</w:t>
      </w:r>
      <w:r>
        <w:rPr>
          <w:rFonts w:ascii="Times New Roman;serif" w:hAnsi="Times New Roman;serif"/>
          <w:b w:val="false"/>
          <w:color w:val="000000"/>
          <w:sz w:val="22"/>
        </w:rPr>
        <w:t xml:space="preserve">. To request the issuance of a Letter of Credit (or the amendment of the terms and conditions, extension of the terms and conditions, extension of the expiration date, or reinstatement of amounts paid, or renewal of an outstanding Letter of Credit), the Company shall deliver (or transmit by electronic communication, if arrangements for doing so have been approved by the applicable L/C Issuer) to an L/C Issuer and to the Administrative Agent not later than 11:00 a.m. at least two (2) Business Days (or such later date and time as the Administrative Agent and such L/C Issuer may agree in a particular instance in their sole discretion) prior to the proposed issuance date or date of amendment, as the case may be a notice requesting the issuance of a Letter of Credit, or identifying the Letter of Credit to be amended, extended, reinstated or renewed, and specifying the date of issuance, amendment, extension, reinstatement or renewal (which shall be a Business Day), the date on which such Letter of Credit is to expire (which shall comply with this </w:t>
      </w:r>
      <w:r>
        <w:rPr>
          <w:rFonts w:ascii="Times New Roman;serif" w:hAnsi="Times New Roman;serif"/>
          <w:b w:val="false"/>
          <w:color w:val="000000"/>
          <w:sz w:val="22"/>
          <w:u w:val="single"/>
        </w:rPr>
        <w:t>Section 2.03(d)</w:t>
      </w:r>
      <w:r>
        <w:rPr>
          <w:rFonts w:ascii="Times New Roman;serif" w:hAnsi="Times New Roman;serif"/>
          <w:b w:val="false"/>
          <w:color w:val="000000"/>
          <w:sz w:val="22"/>
        </w:rPr>
        <w:t>), the amount of such Letter of Credit, the name and address of the beneficiary thereof, the purpose and nature of the requested Letter of Credit and such other information as shall be necessary to prepare, amend, extend, reinstate or renew such Letter of Credit. If requested by the applicable L/C Issuer, the Company also shall submit a letter of credit application and reimbursement agreement on such L/C Issuer’s standard form in connection with any request for a Letter of Credit. In the event of any inconsistency between the terms and conditions of this Agreement and the terms and conditions of any form of letter of credit application and reimbursement agreement or other agreement submitted by the Company to, or entered into by the Company with, an L/C Issuer relating to any Letter of Credit, the terms and conditions of this Agreement shall control.</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Limitations on Amounts, Issuance and Amendment</w:t>
      </w:r>
      <w:r>
        <w:rPr>
          <w:rFonts w:ascii="Times New Roman;serif" w:hAnsi="Times New Roman;serif"/>
          <w:b w:val="false"/>
          <w:color w:val="000000"/>
          <w:sz w:val="22"/>
        </w:rPr>
        <w:t xml:space="preserve">. A Letter of Credit shall be issued, amended, extended, reinstated or renewed only if (and upon issuance, amendment, extension, reinstatement or renewal of each Letter of Credit the Borrowers shall be deemed to represent and warrant that), after giving effect to such issuance, amendment, extension, reinstatement or renewal (w) the aggregate amount of the outstanding Letters of Credit issued by any L/C Issuer shall not exceed its L/C Commitment, (x) the aggregate L/C Obligations shall not exceed the L/C Sublimit, (y) the Revolving Exposure of any Lender shall not exceed its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85445"/>
                <wp:effectExtent l="0" t="0" r="0" b="0"/>
                <wp:wrapNone/>
                <wp:docPr id="89" name="Frame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Revolving Commitment and (z) the Total Revolving Exposure shall not exceed the total Revolving Commitments.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(i)No L/C Issuer shall be under any obligation to issue any Letter of Credit if: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(A)any order, judgment or decree of any Governmental Authority or arbitrator shall by its terms purport to enjoin or restrain such L/C Issuer from issuing the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the Letter of Credit in particular or shall impose upon such L/C Issuer with respect to the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(B)the issuance of such Letter of Credit would violate one or more policies of such L/C Issuer applicable to letters of credit generally;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(C)except as otherwise agreed by the Administrative Agent and such L/C Issuer, the Letter of Credit is in an initial stated amount less than $100,000, in the case of a commercial Letter of Credit, or $500,000, in the case of a standby Letter of Credit;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(D)any Revolving Lender is at that time a Defaulting Lender, unless such L/C Issuer has entered into arrangements, including the delivery of Cash Collateral, satisfactory to such L/C Issuer (in its sole discretion) with the Borrowers or such Lender to eliminate such L/C Issuer’s actual or potential Fronting Exposure (after giving effect to </w:t>
      </w:r>
      <w:r>
        <w:rPr>
          <w:rFonts w:ascii="Times New Roman;serif" w:hAnsi="Times New Roman;serif"/>
          <w:b w:val="false"/>
          <w:color w:val="000000"/>
          <w:sz w:val="22"/>
          <w:u w:val="single"/>
        </w:rPr>
        <w:t>Section 2.15(a)(iv</w:t>
      </w:r>
      <w:r>
        <w:rPr>
          <w:rFonts w:ascii="Times New Roman;serif" w:hAnsi="Times New Roman;serif"/>
          <w:b w:val="false"/>
          <w:color w:val="000000"/>
          <w:sz w:val="22"/>
        </w:rPr>
        <w:t>)) with respect to the Defaulting Lender arising from either the Letter of Credit then proposed to be issued or that Letter of Credit and all other L/C Obligations as to which such L/C Issuer has actual or potential Fronting Exposure, as it may elect in its sole discretion;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(E)the Letter of Credit contains any provisions for automatic reinstatement of the stated amount after any drawing thereunder.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(ii)No L/C Issuer shall be under any obligation to amend any Letter of Credit if (A) such L/C Issuer would have no obligation at such time to issue the Letter of Credit in its amended form under the terms hereof, or (B) the beneficiary of the Letter of Credit does not accept the proposed amendment to the Letter of Credit.</w:t>
      </w:r>
    </w:p>
    <w:p>
      <w:pPr>
        <w:pStyle w:val="TextBody"/>
        <w:bidi w:val="0"/>
        <w:spacing w:lineRule="auto" w:line="240" w:before="0" w:after="240"/>
        <w:ind w:left="0" w:right="0" w:firstLine="720"/>
        <w:jc w:val="both"/>
        <w:rPr/>
      </w:pPr>
      <w:r>
        <w:rPr>
          <w:rFonts w:ascii="Times New Roman;serif" w:hAnsi="Times New Roman;serif"/>
          <w:b w:val="false"/>
          <w:color w:val="000000"/>
          <w:sz w:val="22"/>
        </w:rPr>
        <w:t>(iii)If the Borrowers so requests in any applicable Letter of Credit Application (or the amendment of an outstanding Letter of Credit), the applicable L/C Issuer may, in its sole and absolute discretion, agree to issue a Letter of Credit that has automatic extension provisions (each, an “</w:t>
      </w:r>
      <w:r>
        <w:rPr>
          <w:rFonts w:ascii="Times New Roman;serif" w:hAnsi="Times New Roman;serif"/>
          <w:b w:val="false"/>
          <w:color w:val="000000"/>
          <w:sz w:val="22"/>
          <w:u w:val="single"/>
        </w:rPr>
        <w:t>Auto-Extension Letter of Credit</w:t>
      </w:r>
      <w:r>
        <w:rPr>
          <w:color w:val="000000"/>
        </w:rPr>
        <w:t>”</w:t>
      </w:r>
      <w:r>
        <w:rPr>
          <w:rFonts w:ascii="Times New Roman;serif" w:hAnsi="Times New Roman;serif"/>
          <w:b w:val="false"/>
          <w:color w:val="000000"/>
          <w:sz w:val="22"/>
        </w:rPr>
        <w:t>); provided that any such Auto-Extension Letter of Credit shall permit the applicable L/C Issuer to prevent any such extension at least once in each twelve-month period (commencing with the date of issuance of such Letter of Credit) by giving prior notice to the beneficiary thereof not later than a day (the “</w:t>
      </w:r>
      <w:r>
        <w:rPr>
          <w:rFonts w:ascii="Times New Roman;serif" w:hAnsi="Times New Roman;serif"/>
          <w:b w:val="false"/>
          <w:color w:val="000000"/>
          <w:sz w:val="22"/>
          <w:u w:val="single"/>
        </w:rPr>
        <w:t>Non-Extension Notice Date</w:t>
      </w:r>
      <w:r>
        <w:rPr>
          <w:color w:val="000000"/>
        </w:rPr>
        <w:t>”</w:t>
      </w:r>
      <w:r>
        <w:rPr>
          <w:rFonts w:ascii="Times New Roman;serif" w:hAnsi="Times New Roman;serif"/>
          <w:b w:val="false"/>
          <w:color w:val="000000"/>
          <w:sz w:val="22"/>
        </w:rPr>
        <w:t xml:space="preserve">) in each such twelve-month period to be agreed upon by the Borrower and the applicable L/C Issuer at the time such Letter of Credit is issued. Unless otherwise directed by the applicable L/C Issuer, the Borrowers shall not be required to make a specific request to such L/C Issuer for any such extension. Once an Auto-Extension Letter of Credit has been issued, the Revolving Lenders shall be deemed to have authorized (but may not require) the applicable L/C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85445"/>
                <wp:effectExtent l="0" t="0" r="0" b="0"/>
                <wp:wrapNone/>
                <wp:docPr id="90" name="Frame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Issuer to permit the extension of such Letter of Credit at any time to an expiration date not later than the date permitted pursuant to Section 2.03(d); provided,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such L/C Issuer shall not (A) permit any such extension if (1) such L/C Issuer has determined that it would not be permitted, or would have no obligation, at such time to issue such Letter of Credit in its extended form under the terms hereof (except that the expiration date may be extended to a date that is no more than one (1) year from the then-current expiration date) or (2) it has received notice (which may be in writing or by telephone (if promptly confirmed in writing)) on or before the day that is seven (7) Business Days before the Non-Extension Notice Date from the Administrative Agent that the Required Revolving Lenders have elected not to permit such extension or (B) be obligated to permit such extension if it has received notice (which may be in writing or by telephone (if promptly confirmed in writing)) on or before the day that is seven (7) Business Days before the Non-Extension Notice Date from the Administrative Agent, any Revolving Lender or the Borrowers that one or more of the applicable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is not then satisfied, and in each such case directing such L/C Issuer not to permit such extension.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Expiration Date</w:t>
      </w:r>
      <w:r>
        <w:rPr>
          <w:rFonts w:ascii="Times New Roman;serif" w:hAnsi="Times New Roman;serif"/>
          <w:b w:val="false"/>
          <w:color w:val="000000"/>
          <w:sz w:val="22"/>
        </w:rPr>
        <w:t>. Each Letter of Credit shall have a stated expiration date no later than the earlier of (i) the date twelve (12) months after the date of the issuance of such Letter of Credit (or, in the case of any extension of the expiration date thereof, whether automatic or by amendment, twelve months after the then-current expiration date of such Letter of Credit) and (ii) the date that is five (5) Business Days prior to the Maturity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Participations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(i)By the issuance of a Letter of Credit (or an amendment to a Letter of Credit increasing the amount or extending the expiration date thereof), and without any further action on the part of the applicable L/C Issuer or the Lenders, such L/C Issuer hereby grants to each Revolving Lender, and each Revolving Lender hereby acquires from such L/C Issuer, a participation in such Letter of Credit equal to such Lender’s Applicable Percentage of the aggregate amount available to be drawn under such Letter of Credit. Each Revolving Lender acknowledges and agrees that its obligation to acquire participations pursuant to Section 2.03(e)(i) in respect of Letters of Credit is absolute, unconditional and irrevocable and shall not be affected by any circumstance whatsoever, including any amendment, extension, reinstatement or renewal of any Letter of Credit or the occurrence and continuance of a Default or reduction or termination of the Revolving Commitments.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(ii)In consideration and in furtherance of the foregoing, each Revolving Lender hereby absolutely, unconditionally and irrevocably agrees to pay to the Administrative Agent in Dollars, for account of the applicable L/C Issuer, such Lender’s Applicable Percentage of each L/C Disbursement made by an L/C Issuer (expressed in Dollars in the amount of the Dollar Equivalent thereof) not later than 1:00 p.m. on the Business Day specified in the notice provided by the Administrative Agent to the Revolving Lenders pursuant to </w:t>
      </w:r>
      <w:r>
        <w:rPr>
          <w:rFonts w:ascii="Times New Roman;serif" w:hAnsi="Times New Roman;serif"/>
          <w:b w:val="false"/>
          <w:color w:val="000000"/>
          <w:sz w:val="22"/>
          <w:u w:val="single"/>
        </w:rPr>
        <w:t>Section 2.03(f</w:t>
      </w:r>
      <w:r>
        <w:rPr>
          <w:rFonts w:ascii="Times New Roman;serif" w:hAnsi="Times New Roman;serif"/>
          <w:b w:val="false"/>
          <w:color w:val="000000"/>
          <w:sz w:val="22"/>
        </w:rPr>
        <w:t xml:space="preserve">) until such L/C Disbursement is reimbursed by the applicable Borrower or at any time after any reimbursement payment is required to be refunded to the applicable Borrower for any reason, including after the Maturity Date. Such payment shall be made without any offset, abatement, withholding or reduction whatsoever. Each such payment shall be made in the same manner as provided in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 xml:space="preserve">with respect to Loans made by such Lender (and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 xml:space="preserve">shall apply, </w:t>
      </w:r>
      <w:r>
        <w:rPr>
          <w:rFonts w:ascii="Times New Roman;serif" w:hAnsi="Times New Roman;serif"/>
          <w:b w:val="false"/>
          <w:i/>
          <w:color w:val="000000"/>
          <w:sz w:val="22"/>
        </w:rPr>
        <w:t>mutatis</w:t>
      </w:r>
      <w:r>
        <w:rPr>
          <w:color w:val="000000"/>
        </w:rPr>
        <w:t xml:space="preserve"> </w:t>
      </w:r>
      <w:r>
        <w:rPr>
          <w:rFonts w:ascii="Times New Roman;serif" w:hAnsi="Times New Roman;serif"/>
          <w:b w:val="false"/>
          <w:i/>
          <w:color w:val="000000"/>
          <w:sz w:val="22"/>
        </w:rPr>
        <w:t>mutandis</w:t>
      </w:r>
      <w:r>
        <w:rPr>
          <w:rFonts w:ascii="Times New Roman;serif" w:hAnsi="Times New Roman;serif"/>
          <w:b w:val="false"/>
          <w:color w:val="000000"/>
          <w:sz w:val="22"/>
        </w:rPr>
        <w:t xml:space="preserve">, to the payment obligations of the Revolving Lenders pursuant to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 xml:space="preserve">), and the Administrative Agent shall promptly pay to the applicable L/C Issuer the amounts so received by it from the Lenders. Promptly following receipt by the Administrative Agent of any payment from the applicable Borrower pursuant to </w:t>
      </w:r>
      <w:r>
        <w:rPr>
          <w:rFonts w:ascii="Times New Roman;serif" w:hAnsi="Times New Roman;serif"/>
          <w:b w:val="false"/>
          <w:color w:val="000000"/>
          <w:sz w:val="22"/>
          <w:u w:val="single"/>
        </w:rPr>
        <w:t>Section 2.03(f</w:t>
      </w:r>
      <w:r>
        <w:rPr>
          <w:rFonts w:ascii="Times New Roman;serif" w:hAnsi="Times New Roman;serif"/>
          <w:b w:val="false"/>
          <w:color w:val="000000"/>
          <w:sz w:val="22"/>
        </w:rPr>
        <w:t xml:space="preserve">), the Administrative Agent shall distribute such payment to the applicable L/C Issuer or, to the extent that the Revolving Lenders have made payments pursuant to this </w:t>
      </w:r>
      <w:r>
        <w:rPr>
          <w:rFonts w:ascii="Times New Roman;serif" w:hAnsi="Times New Roman;serif"/>
          <w:b w:val="false"/>
          <w:color w:val="000000"/>
          <w:sz w:val="22"/>
          <w:u w:val="single"/>
        </w:rPr>
        <w:t>clause (e</w:t>
      </w:r>
      <w:r>
        <w:rPr>
          <w:rFonts w:ascii="Times New Roman;serif" w:hAnsi="Times New Roman;serif"/>
          <w:b w:val="false"/>
          <w:color w:val="000000"/>
          <w:sz w:val="22"/>
        </w:rPr>
        <w:t xml:space="preserve">) to reimburse such L/C Issuer, then to such Lenders and such L/C Issuer as their interests may appear. Any payment made by a Lender pursuant to this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85445"/>
                <wp:effectExtent l="0" t="0" r="0" b="0"/>
                <wp:wrapNone/>
                <wp:docPr id="91" name="Frame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u w:val="single"/>
        </w:rPr>
        <w:t>Section 2.03 (e</w:t>
      </w:r>
      <w:r>
        <w:rPr>
          <w:rFonts w:ascii="Times New Roman;serif" w:hAnsi="Times New Roman;serif"/>
          <w:b w:val="false"/>
          <w:color w:val="000000"/>
          <w:sz w:val="22"/>
        </w:rPr>
        <w:t>) to reimburse an L/C Issuer for any L/C Disbursement shall not constitute a Loan and shall not relieve the applicable Borrower of its obligation to reimburse such L/C Disbursement.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(iii)Each Revolving Lender further acknowledges and agrees that its participation in each Letter of Credit will be automatically adjusted to reflect such Lender’s Applicable Percentage of the aggregate amount available to be drawn under such Letter of Credit at each time such Lender’s Commitment is amended pursuant to the operation of </w:t>
      </w:r>
      <w:r>
        <w:rPr>
          <w:rFonts w:ascii="Times New Roman;serif" w:hAnsi="Times New Roman;serif"/>
          <w:b w:val="false"/>
          <w:color w:val="000000"/>
          <w:sz w:val="22"/>
          <w:u w:val="single"/>
        </w:rPr>
        <w:t>Section 2.19</w:t>
      </w:r>
      <w:r>
        <w:rPr>
          <w:rFonts w:ascii="Times New Roman;serif" w:hAnsi="Times New Roman;serif"/>
          <w:b w:val="false"/>
          <w:color w:val="000000"/>
          <w:sz w:val="22"/>
        </w:rPr>
        <w:t xml:space="preserve">, as a result of an assignment in accordance with </w:t>
      </w:r>
      <w:r>
        <w:rPr>
          <w:rFonts w:ascii="Times New Roman;serif" w:hAnsi="Times New Roman;serif"/>
          <w:b w:val="false"/>
          <w:color w:val="000000"/>
          <w:sz w:val="22"/>
          <w:u w:val="single"/>
        </w:rPr>
        <w:t>Section 11.06</w:t>
      </w:r>
      <w:r>
        <w:rPr>
          <w:color w:val="000000"/>
        </w:rPr>
        <w:t xml:space="preserve"> </w:t>
      </w:r>
      <w:r>
        <w:rPr>
          <w:rFonts w:ascii="Times New Roman;serif" w:hAnsi="Times New Roman;serif"/>
          <w:b w:val="false"/>
          <w:color w:val="000000"/>
          <w:sz w:val="22"/>
        </w:rPr>
        <w:t>or otherwise pursuant to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(iv)If any Revolving Lender fails to make available to the Administrative Agent for the account of the applicable L/C Issuer any amount required to be paid by such Lender pursuant to the foregoing provisions of this </w:t>
      </w:r>
      <w:r>
        <w:rPr>
          <w:rFonts w:ascii="Times New Roman;serif" w:hAnsi="Times New Roman;serif"/>
          <w:b w:val="false"/>
          <w:color w:val="000000"/>
          <w:sz w:val="22"/>
          <w:u w:val="single"/>
        </w:rPr>
        <w:t>Section 2.03(e</w:t>
      </w:r>
      <w:r>
        <w:rPr>
          <w:rFonts w:ascii="Times New Roman;serif" w:hAnsi="Times New Roman;serif"/>
          <w:b w:val="false"/>
          <w:color w:val="000000"/>
          <w:sz w:val="22"/>
        </w:rPr>
        <w:t xml:space="preserve">), then, without limiting the other provisions of this Agreement, the applicable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w:t>
      </w:r>
      <w:r>
        <w:rPr>
          <w:rFonts w:ascii="Times New Roman;serif" w:hAnsi="Times New Roman;serif"/>
          <w:b w:val="false"/>
          <w:i/>
          <w:color w:val="000000"/>
          <w:sz w:val="22"/>
        </w:rPr>
        <w:t>greater of</w:t>
      </w:r>
      <w:r>
        <w:rPr>
          <w:color w:val="000000"/>
        </w:rPr>
        <w:t xml:space="preserve"> </w:t>
      </w:r>
      <w:r>
        <w:rPr>
          <w:rFonts w:ascii="Times New Roman;serif" w:hAnsi="Times New Roman;serif"/>
          <w:b w:val="false"/>
          <w:color w:val="000000"/>
          <w:sz w:val="22"/>
        </w:rPr>
        <w:t xml:space="preserve">the applicable Overnight Rate and a rate determined by the applicable L/C Issuer in accordance with banking industry rules on interbank compensation,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any administrative, processing or similar fees customarily charged by such L/C Issuer in connection with the foregoing. If such Lender pays such amount (with interest and fees as aforesaid), the amount so paid shall constitute such Lender’s Revolving Loan included in the relevant Revolving Borrowing or L/C Advance in respect of the relevant L/C Borrowing, as the case may be. A certificate of any L/C Issuer submitted to any Revolving Lender (through the Administrative Agent) with respect to any amounts owing under this </w:t>
      </w:r>
      <w:r>
        <w:rPr>
          <w:rFonts w:ascii="Times New Roman;serif" w:hAnsi="Times New Roman;serif"/>
          <w:b w:val="false"/>
          <w:color w:val="000000"/>
          <w:sz w:val="22"/>
          <w:u w:val="single"/>
        </w:rPr>
        <w:t>Section 2.03(e)(iv</w:t>
      </w:r>
      <w:r>
        <w:rPr>
          <w:rFonts w:ascii="Times New Roman;serif" w:hAnsi="Times New Roman;serif"/>
          <w:b w:val="false"/>
          <w:color w:val="000000"/>
          <w:sz w:val="22"/>
        </w:rPr>
        <w:t>) shall be conclusive absent manifest error.</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Reimbursement</w:t>
      </w:r>
      <w:r>
        <w:rPr>
          <w:rFonts w:ascii="Times New Roman;serif" w:hAnsi="Times New Roman;serif"/>
          <w:b w:val="false"/>
          <w:color w:val="000000"/>
          <w:sz w:val="22"/>
        </w:rPr>
        <w:t xml:space="preserve">. If an L/C Issuer shall make any L/C Disbursement in respect of a Letter of Credit, the Borrowers shall reimburse such L/C Issuer in respect of such L/C Disbursement by paying to the Administrative Agent an amount equal to such L/C Disbursement not later than 12:00 noon on (i) the Business Day that the Borrowers receive notice of such L/C Disbursement in the currency in which such L/C Disbursement was made (or, if requested by such L/C Issuer, in the Dollar Equivalent of the amount of such L/C Disbursement, if such notice is received prior to 10:00 a.m. or (ii) the Business Day immediately following the day that the Borrowers receive such notice, if such notice is not received prior to such time, provided that, if such L/C Disbursement is not less than $1,000,000, the Borrowers may, subject to the conditions to borrowing set forth herein, request in accordance with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2.04</w:t>
      </w:r>
      <w:r>
        <w:rPr>
          <w:color w:val="000000"/>
        </w:rPr>
        <w:t xml:space="preserve"> </w:t>
      </w:r>
      <w:r>
        <w:rPr>
          <w:rFonts w:ascii="Times New Roman;serif" w:hAnsi="Times New Roman;serif"/>
          <w:b w:val="false"/>
          <w:color w:val="000000"/>
          <w:sz w:val="22"/>
        </w:rPr>
        <w:t>that such payment be financed with a Borrowing of Base Rate Loans or Swingline Loan in the Dollar Equivalent of the amount of such L/C Disbursement and, to the extent so financed, the Borrowers’ obligation to make such payment shall be discharged and replaced by the resulting Borrowing of Base Rate Loans or Swingline Loan. If the Borrowers fail to make such payment when due, the Administrative Agent shall notify each Revolving Lender of the Dollar Equivalent of the applicable L/C Disbursement, the payment then due from the Borrowers in respect thereof (the “</w:t>
      </w:r>
      <w:r>
        <w:rPr>
          <w:rFonts w:ascii="Times New Roman;serif" w:hAnsi="Times New Roman;serif"/>
          <w:b w:val="false"/>
          <w:i/>
          <w:color w:val="000000"/>
          <w:sz w:val="22"/>
          <w:u w:val="single"/>
        </w:rPr>
        <w:t>Unreimbursed Amount</w:t>
      </w:r>
      <w:r>
        <w:rPr>
          <w:color w:val="000000"/>
        </w:rPr>
        <w:t>”</w:t>
      </w:r>
      <w:r>
        <w:rPr>
          <w:rFonts w:ascii="Times New Roman;serif" w:hAnsi="Times New Roman;serif"/>
          <w:b w:val="false"/>
          <w:color w:val="000000"/>
          <w:sz w:val="22"/>
        </w:rPr>
        <w:t xml:space="preserve">) and such Lender’s Applicable Percentage thereof. Promptly upon receipt of such notice, each Revolving Lender shall pay to the Administrative Agent its Applicable Percentage of the Unreimbursed Amount pursuant to </w:t>
      </w:r>
      <w:r>
        <w:rPr>
          <w:rFonts w:ascii="Times New Roman;serif" w:hAnsi="Times New Roman;serif"/>
          <w:b w:val="false"/>
          <w:color w:val="000000"/>
          <w:sz w:val="22"/>
          <w:u w:val="single"/>
        </w:rPr>
        <w:t>Section 2.03(e)(ii</w:t>
      </w:r>
      <w:r>
        <w:rPr>
          <w:rFonts w:ascii="Times New Roman;serif" w:hAnsi="Times New Roman;serif"/>
          <w:b w:val="false"/>
          <w:color w:val="000000"/>
          <w:sz w:val="22"/>
        </w:rPr>
        <w:t xml:space="preserve">), subject to the amount of the unutilized portion of the aggregate Revolving Commitments. Any notice given by any L/C Issuer or the Administrative Agent pursuant to this </w:t>
      </w:r>
      <w:r>
        <w:rPr>
          <w:rFonts w:ascii="Times New Roman;serif" w:hAnsi="Times New Roman;serif"/>
          <w:b w:val="false"/>
          <w:color w:val="000000"/>
          <w:sz w:val="22"/>
          <w:u w:val="single"/>
        </w:rPr>
        <w:t>Section 2.03(f</w:t>
      </w:r>
      <w:r>
        <w:rPr>
          <w:rFonts w:ascii="Times New Roman;serif" w:hAnsi="Times New Roman;serif"/>
          <w:b w:val="false"/>
          <w:color w:val="000000"/>
          <w:sz w:val="22"/>
        </w:rPr>
        <w:t xml:space="preserve">) may be given by telephone if immediately confirmed in writing;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lack of such an immediate confirmation shall not affect the conclusiveness or binding effect of such notice.</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Obligations Absolute</w:t>
      </w:r>
      <w:r>
        <w:rPr>
          <w:rFonts w:ascii="Times New Roman;serif" w:hAnsi="Times New Roman;serif"/>
          <w:b w:val="false"/>
          <w:color w:val="000000"/>
          <w:sz w:val="22"/>
        </w:rPr>
        <w:t xml:space="preserve">. The Borrowers’ obligation to reimburse L/C Disbursements as provided in </w:t>
      </w:r>
      <w:r>
        <w:rPr>
          <w:rFonts w:ascii="Times New Roman;serif" w:hAnsi="Times New Roman;serif"/>
          <w:b w:val="false"/>
          <w:color w:val="000000"/>
          <w:sz w:val="22"/>
          <w:u w:val="single"/>
        </w:rPr>
        <w:t>Section 2.03(f)</w:t>
      </w:r>
      <w:r>
        <w:rPr>
          <w:color w:val="000000"/>
        </w:rPr>
        <w:t xml:space="preserve"> </w:t>
      </w:r>
      <w:r>
        <w:rPr>
          <w:rFonts w:ascii="Times New Roman;serif" w:hAnsi="Times New Roman;serif"/>
          <w:b w:val="false"/>
          <w:color w:val="000000"/>
          <w:sz w:val="22"/>
        </w:rPr>
        <w:t>shall be absolute, unconditional and irrevocable, and shall be performed strictly in accordance with the terms of this Agreement under any and all circumstances whatsoever and irrespective of:</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85445"/>
                <wp:effectExtent l="0" t="0" r="0" b="0"/>
                <wp:wrapNone/>
                <wp:docPr id="92" name="Frame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(i)any lack of validity or enforceability of this Agreement, any other Loan Document or any Letter of Credit, or any term or provision herein or therein;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existence of any claim, counterclaim, setoff, defense or other right that any Borrower or any Subsidiary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(iii)any draft, demand, certificate or other document presented under such Letter of Credit proving to be forged, fraudulent, invalid or insufficient in any respect or any statement in such draft or other document being untrue or inaccurate in any respect; or any loss or delay in the transmission or otherwise of any document required in order to make a drawing under such Letter of Credit;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(iv)waiver by any L/C Issuer of any requirement that exists for such L/C Issuer’s protection and not the protection of the Borrowers or any waiver by such L/C Issuer which does not in fact materially prejudice the Borrowers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(v)honor of a demand for payment presented electronically even if such Letter of Credit required that demand be in the form of a draft;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(vi)any payment made by any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(vii)payment by the applicable L/C Issuer under a Letter of Credit against presentation of a draft or other document that does not comply strictly with the terms of such Letter of Credit; or any payment made by any L/C Issuer under such Letter of Credit to any Person purporting to be a trustee in bankruptcy, debtor-in-possession, assignee for the benefit of creditors, liquidator, receiver, manager, receiver and manager or other representative of or successor to any beneficiary or any transferee of such Letter of Credit, including any arising in connection with any proceeding under any Debtor Relief Law;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(viii)any other event or circumstance whatsoever, whether or not similar to any of the foregoing, that might, but for the provisions of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 constitute a legal or equitable discharge of, or provide a right of setoff against, the Borrowers’ or any of their respective Subsidiaries obligations hereunder;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(ix)any adverse change in the relevant exchange rates or in the availability of the relevant Alternative Currency to the Company or any Subsidiary or in the relevant currency markets generally.</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Examination</w:t>
      </w:r>
      <w:r>
        <w:rPr>
          <w:rFonts w:ascii="Times New Roman;serif" w:hAnsi="Times New Roman;serif"/>
          <w:b w:val="false"/>
          <w:color w:val="000000"/>
          <w:sz w:val="22"/>
        </w:rPr>
        <w:t>. Each Borrower shall promptly examine a copy of each Letter of Credit and each amendment thereto that is delivered to it and, in the event of any claim of noncompliance with such Borrower’s instructions or other irregularity, such Borrower will immediately notify the applicable L/C Issuer. Each Borrower shall be conclusively deemed to have waived any such claim against each L/C Issuer and its correspondents unless such notice is given as aforesaid.</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Liability</w:t>
      </w:r>
      <w:r>
        <w:rPr>
          <w:rFonts w:ascii="Times New Roman;serif" w:hAnsi="Times New Roman;serif"/>
          <w:b w:val="false"/>
          <w:color w:val="000000"/>
          <w:sz w:val="22"/>
        </w:rPr>
        <w:t xml:space="preserve">. None of the Administrative Agent, the Lenders, any L/C Issuer, or any of their Related Parties shall have any liability or responsibility by reason of or in connection with the issuance or transfer of any Letter of Credit by the applicable L/C Issuer or any payment or failure to make any payment thereunder (irrespective of any of the circumstances referred to in the preceding sentence), or any error, omission, interruption, loss or delay in transmission or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85445"/>
                <wp:effectExtent l="0" t="0" r="0" b="0"/>
                <wp:wrapNone/>
                <wp:docPr id="93" name="Frame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applicable L/C Issuer;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foregoing shall not be construed to excuse an L/C Issuer from liability to the Borrowers to the extent of any direct damages (as opposed to consequential damages, claims in respect of which are hereby waived by the Borrowers to the extent permitted by Applicable Law) suffered by the Borrowers that are caused by such L/C Issuer’s failure to exercise care when determining whether drafts and other documents presented under a Letter of Credit comply with the terms thereof. The parties hereto expressly agree that, in the absence of gross negligence or willful misconduct on the part of an L/C Issuer (as finally determined by a court of competent jurisdiction), an L/C Issuer shall be deemed to have exercised care in each such determination, and that: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(i)an L/C Issuer may replace a purportedly lost, stolen, or destroyed original Letter of Credit or missing amendment thereto with a certified true copy marked as such or waive a requirement for its presentation;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(ii)an L/C Issuer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(iii)an L/C Issuer shall have the right, in its sole discretion, to decline to accept such documents and to make such payment if such documents are not in strict compliance with the terms of such Letter of Credit;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(iv)this sentence shall establish the standard of care to be exercised by an L/C Issuer when determining whether drafts and other documents presented under a Letter of Credit comply with the terms thereof (and the parties hereto hereby waive, to the extent permitted by Applicable Law, any standard of care inconsistent with the foregoing).</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Without limiting the foregoing, none of the Administrative Agent, the Lenders, any L/C Issuer, or any of their Related Parties shall have any liability or responsibility by reason of (A) any presentation that includes forged or fraudulent documents or that is otherwise affected by the fraudulent, bad faith, or illegal conduct of the beneficiary or other Person, (B) an L/C Issuer declining to take-up documents and make payment, (C) against documents that are fraudulent, forged, or for other reasons by which that it is entitled not to honor, (D) following a Borrower’s waiver of discrepancies with respect to such documents or request for honor of such documents or (E) an L/C Issuer retaining proceeds of a Letter of Credit based on an apparently applicable attachment order, blocking regulation, or third-party claim notified to such L/C Issuer.</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Applicability of ISP and UCP</w:t>
      </w:r>
      <w:r>
        <w:rPr>
          <w:rFonts w:ascii="Times New Roman;serif" w:hAnsi="Times New Roman;serif"/>
          <w:b w:val="false"/>
          <w:color w:val="000000"/>
          <w:sz w:val="22"/>
        </w:rPr>
        <w:t xml:space="preserve">. Unless otherwise expressly agreed by the applicable L/C Issuer and the applicable Borrower when a Letter of Credit is issued by it (including any such agreement applicable to an Existing Letter of Credit), (i) the rules of the ISP shall apply to each standby Letter of Credit, and (ii) the rules of the UCP shall apply to each commercial Letter of Credit. Notwithstanding the foregoing, no L/C Issuer shall be responsible to the Borrowers for, and no L/C Issuer’s rights and remedies against any Borrower shall be impaired by, any action or inaction of any L/C Issuer required or permitted under any law, order, or practice that is required or permitted to be applied to any Letter of Credit or this Agreement, including the Law or any order of a jurisdiction where any L/C Issuer or the beneficiary is located, the practice stated in the ISP or UCP, as applicable, or in the decisions, opinions, practice statements, or official commentary of the ICC Banking Commission, the Bankers Association for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85445"/>
                <wp:effectExtent l="0" t="0" r="0" b="0"/>
                <wp:wrapNone/>
                <wp:docPr id="94" name="Frame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Finance and Trade – International Financial Services Association (BAFT-IFSA), or the Institute of International Banking Law &amp; Practice, whether or not any Letter of Credit chooses such law or practice.</w:t>
      </w:r>
    </w:p>
    <w:p>
      <w:pPr>
        <w:pStyle w:val="TextBody"/>
        <w:bidi w:val="0"/>
        <w:spacing w:lineRule="auto" w:line="240"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Benefits</w:t>
      </w:r>
      <w:r>
        <w:rPr>
          <w:rFonts w:ascii="Times New Roman;serif" w:hAnsi="Times New Roman;serif"/>
          <w:b w:val="false"/>
          <w:color w:val="000000"/>
          <w:sz w:val="22"/>
        </w:rPr>
        <w:t xml:space="preserve">. Each L/C Issuer shall act on behalf of the Lenders with respect to any Letters of Credit issued by it and the documents associated therewith, and each L/C Issuer shall have all of the benefits and immunities (i) provided to the Administrative Agent in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included such L/C Issuer with respect to such acts or omissions, and (ii) as additionally provided herein with respect to such L/C Issuer.</w:t>
      </w:r>
    </w:p>
    <w:p>
      <w:pPr>
        <w:pStyle w:val="TextBody"/>
        <w:bidi w:val="0"/>
        <w:spacing w:lineRule="auto" w:line="240"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Letter of Credit Fees</w:t>
      </w:r>
      <w:r>
        <w:rPr>
          <w:rFonts w:ascii="Times New Roman;serif" w:hAnsi="Times New Roman;serif"/>
          <w:b w:val="false"/>
          <w:color w:val="000000"/>
          <w:sz w:val="22"/>
        </w:rPr>
        <w:t>. The Borrowers shall pay to the Administrative Agent for the account of each Revolving Lender in accordance with its Applicable Revolving Percentage a Letter of Credit fee (the “</w:t>
      </w:r>
      <w:r>
        <w:rPr>
          <w:rFonts w:ascii="Times New Roman;serif" w:hAnsi="Times New Roman;serif"/>
          <w:b w:val="false"/>
          <w:i/>
          <w:color w:val="000000"/>
          <w:sz w:val="22"/>
          <w:u w:val="single"/>
        </w:rPr>
        <w:t>Letter of Credit Fee</w:t>
      </w:r>
      <w:r>
        <w:rPr>
          <w:color w:val="000000"/>
        </w:rPr>
        <w:t>”</w:t>
      </w:r>
      <w:r>
        <w:rPr>
          <w:rFonts w:ascii="Times New Roman;serif" w:hAnsi="Times New Roman;serif"/>
          <w:b w:val="false"/>
          <w:color w:val="000000"/>
          <w:sz w:val="22"/>
        </w:rPr>
        <w:t xml:space="preserve">) for each Letter of Credit equal to the Applicable Rate </w:t>
      </w:r>
      <w:r>
        <w:rPr>
          <w:rFonts w:ascii="Times New Roman;serif" w:hAnsi="Times New Roman;serif"/>
          <w:b w:val="false"/>
          <w:i/>
          <w:color w:val="000000"/>
          <w:sz w:val="22"/>
        </w:rPr>
        <w:t>times</w:t>
      </w:r>
      <w:r>
        <w:rPr>
          <w:color w:val="000000"/>
        </w:rPr>
        <w:t xml:space="preserve"> </w:t>
      </w:r>
      <w:r>
        <w:rPr>
          <w:rFonts w:ascii="Times New Roman;serif" w:hAnsi="Times New Roman;serif"/>
          <w:b w:val="false"/>
          <w:color w:val="000000"/>
          <w:sz w:val="22"/>
        </w:rPr>
        <w:t xml:space="preserve">the Dollar Equivalent of the daily amount available to be drawn under such Letter of Credit. For purposes of computing the daily amount available to be drawn under any Letter of Credit, the amount of such Letter of Credit shall be determined in accordance with </w:t>
      </w:r>
      <w:r>
        <w:rPr>
          <w:rFonts w:ascii="Times New Roman;serif" w:hAnsi="Times New Roman;serif"/>
          <w:b w:val="false"/>
          <w:color w:val="000000"/>
          <w:sz w:val="22"/>
          <w:u w:val="single"/>
        </w:rPr>
        <w:t>Section 1.06</w:t>
      </w:r>
      <w:r>
        <w:rPr>
          <w:rFonts w:ascii="Times New Roman;serif" w:hAnsi="Times New Roman;serif"/>
          <w:b w:val="false"/>
          <w:color w:val="000000"/>
          <w:sz w:val="22"/>
        </w:rPr>
        <w:t>. Letter of Credit Fees shall be (i) payable on the last Business Day of each March, June, September and December, commencing with the first such date to occur after the issuance of such Letter of Credit and (ii) accrued through and including the last day of each calendar quarter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Revolving Lenders, while any Event of Default exists, all Letter of Credit Fees shall accrue at the Default Rate.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u w:val="single"/>
        </w:rPr>
        <w:t>Fronting Fee and Documentary and Processing Charges Payable to L/C Issuers</w:t>
      </w:r>
      <w:r>
        <w:rPr>
          <w:rFonts w:ascii="Times New Roman;serif" w:hAnsi="Times New Roman;serif"/>
          <w:b w:val="false"/>
          <w:color w:val="000000"/>
          <w:sz w:val="22"/>
        </w:rPr>
        <w:t xml:space="preserve">. The Borrowers shall pay directly to the applicable L/C Issuer for its own account a fronting fee with respect to each Letter of Credit, at the rate per annum equal to the percentage separately agreed upon between the Borrowers and such L/C Issuer, computed on the Dollar Equivalent of the daily amount available to be drawn under such Letter of Credit on a quarterly basis in arrears. Such fronting fee shall be due and payable no later than the last Business Day of each March, June, September and December, commencing with the first such date to occur after the issuance of such Letter of Credit, on the Maturity Date and thereafter on demand. For purposes of computing the daily amount available to be drawn under any Letter of Credit, the amount of such Letter of Credit shall be determined in accordance with </w:t>
      </w:r>
      <w:r>
        <w:rPr>
          <w:rFonts w:ascii="Times New Roman;serif" w:hAnsi="Times New Roman;serif"/>
          <w:b w:val="false"/>
          <w:color w:val="000000"/>
          <w:sz w:val="22"/>
          <w:u w:val="single"/>
        </w:rPr>
        <w:t>Section 1.06</w:t>
      </w:r>
      <w:r>
        <w:rPr>
          <w:rFonts w:ascii="Times New Roman;serif" w:hAnsi="Times New Roman;serif"/>
          <w:b w:val="false"/>
          <w:color w:val="000000"/>
          <w:sz w:val="22"/>
        </w:rPr>
        <w:t>. In addition, the Borrowers shall pay directly to the applicable L/C Issuer for its own account, in Dollars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(n)</w:t>
      </w:r>
      <w:r>
        <w:rPr>
          <w:rFonts w:ascii="Times New Roman;serif" w:hAnsi="Times New Roman;serif"/>
          <w:b w:val="false"/>
          <w:color w:val="000000"/>
          <w:sz w:val="22"/>
          <w:u w:val="single"/>
        </w:rPr>
        <w:t>Disbursement Procedures</w:t>
      </w:r>
      <w:r>
        <w:rPr>
          <w:rFonts w:ascii="Times New Roman;serif" w:hAnsi="Times New Roman;serif"/>
          <w:b w:val="false"/>
          <w:color w:val="000000"/>
          <w:sz w:val="22"/>
        </w:rPr>
        <w:t xml:space="preserve">. The L/C Issuer for any Letter of Credit shall, within the time allowed by Applicable Laws or the specific terms of the Letter of Credit following its receipt thereof, examine all documents purporting to represent a demand for payment under such Letter of Credit. Such L/C Issuer shall promptly after such examination notify the Administrative Agent and the Borrowers in writing of such demand for payment if such L/C Issuer has made or will make an L/C Disbursement thereunder;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any failure to give or delay in giving such notice shall not relieve the Borrowers of its obligation to reimburse such L/C Issuer and the Lenders with respect to any such L/C Disbursement.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(o)</w:t>
      </w:r>
      <w:r>
        <w:rPr>
          <w:rFonts w:ascii="Times New Roman;serif" w:hAnsi="Times New Roman;serif"/>
          <w:b w:val="false"/>
          <w:color w:val="000000"/>
          <w:sz w:val="22"/>
          <w:u w:val="single"/>
        </w:rPr>
        <w:t>Interim Interest</w:t>
      </w:r>
      <w:r>
        <w:rPr>
          <w:rFonts w:ascii="Times New Roman;serif" w:hAnsi="Times New Roman;serif"/>
          <w:b w:val="false"/>
          <w:color w:val="000000"/>
          <w:sz w:val="22"/>
        </w:rPr>
        <w:t xml:space="preserve">. If the L/C Issuer for any standby Letter of Credit shall make any L/C Disbursement, then, unless the Borrowers shall reimburse such L/C Disbursement in full on the date such L/C Disbursement is made, the unpaid amount thereof shall bear interest, for each day from and including the date such L/C Disbursement is made to but excluding the date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85445"/>
                <wp:effectExtent l="0" t="0" r="0" b="0"/>
                <wp:wrapNone/>
                <wp:docPr id="95" name="Frame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Borrowers reimburse such L/C Disbursement, at the rate per annum then applicable to Base Rate Loans;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if the Borrowers fail to reimburse such L/C Disbursement when due pursuant to </w:t>
      </w:r>
      <w:r>
        <w:rPr>
          <w:rFonts w:ascii="Times New Roman;serif" w:hAnsi="Times New Roman;serif"/>
          <w:b w:val="false"/>
          <w:color w:val="000000"/>
          <w:sz w:val="22"/>
          <w:u w:val="single"/>
        </w:rPr>
        <w:t>clause (f</w:t>
      </w:r>
      <w:r>
        <w:rPr>
          <w:rFonts w:ascii="Times New Roman;serif" w:hAnsi="Times New Roman;serif"/>
          <w:b w:val="false"/>
          <w:color w:val="000000"/>
          <w:sz w:val="22"/>
        </w:rPr>
        <w:t xml:space="preserve">) of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 xml:space="preserve">, then </w:t>
      </w:r>
      <w:r>
        <w:rPr>
          <w:rFonts w:ascii="Times New Roman;serif" w:hAnsi="Times New Roman;serif"/>
          <w:b w:val="false"/>
          <w:color w:val="000000"/>
          <w:sz w:val="22"/>
          <w:u w:val="single"/>
        </w:rPr>
        <w:t>Section 2.08(b</w:t>
      </w:r>
      <w:r>
        <w:rPr>
          <w:rFonts w:ascii="Times New Roman;serif" w:hAnsi="Times New Roman;serif"/>
          <w:b w:val="false"/>
          <w:color w:val="000000"/>
          <w:sz w:val="22"/>
        </w:rPr>
        <w:t xml:space="preserve">) shall apply. Interest accrued pursuant to this </w:t>
      </w:r>
      <w:r>
        <w:rPr>
          <w:rFonts w:ascii="Times New Roman;serif" w:hAnsi="Times New Roman;serif"/>
          <w:b w:val="false"/>
          <w:color w:val="000000"/>
          <w:sz w:val="22"/>
          <w:u w:val="single"/>
        </w:rPr>
        <w:t>clause (o</w:t>
      </w:r>
      <w:r>
        <w:rPr>
          <w:rFonts w:ascii="Times New Roman;serif" w:hAnsi="Times New Roman;serif"/>
          <w:b w:val="false"/>
          <w:color w:val="000000"/>
          <w:sz w:val="22"/>
        </w:rPr>
        <w:t xml:space="preserve">) shall be for account of such L/C Issuer, except that interest accrued on and after the date of payment by any Lender pursuant to </w:t>
      </w:r>
      <w:r>
        <w:rPr>
          <w:rFonts w:ascii="Times New Roman;serif" w:hAnsi="Times New Roman;serif"/>
          <w:b w:val="false"/>
          <w:color w:val="000000"/>
          <w:sz w:val="22"/>
          <w:u w:val="single"/>
        </w:rPr>
        <w:t>clause (f</w:t>
      </w:r>
      <w:r>
        <w:rPr>
          <w:rFonts w:ascii="Times New Roman;serif" w:hAnsi="Times New Roman;serif"/>
          <w:b w:val="false"/>
          <w:color w:val="000000"/>
          <w:sz w:val="22"/>
        </w:rPr>
        <w:t xml:space="preserve">) of this </w:t>
      </w:r>
      <w:r>
        <w:rPr>
          <w:rFonts w:ascii="Times New Roman;serif" w:hAnsi="Times New Roman;serif"/>
          <w:b w:val="false"/>
          <w:color w:val="000000"/>
          <w:sz w:val="22"/>
          <w:u w:val="single"/>
        </w:rPr>
        <w:t>Section 2.03</w:t>
      </w:r>
      <w:r>
        <w:rPr>
          <w:color w:val="000000"/>
        </w:rPr>
        <w:t xml:space="preserve"> </w:t>
      </w:r>
      <w:r>
        <w:rPr>
          <w:rFonts w:ascii="Times New Roman;serif" w:hAnsi="Times New Roman;serif"/>
          <w:b w:val="false"/>
          <w:color w:val="000000"/>
          <w:sz w:val="22"/>
        </w:rPr>
        <w:t>to reimburse such L/C Issuer shall be for account of such Lender to the extent of such payment.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(p)</w:t>
      </w:r>
      <w:r>
        <w:rPr>
          <w:rFonts w:ascii="Times New Roman;serif" w:hAnsi="Times New Roman;serif"/>
          <w:b w:val="false"/>
          <w:color w:val="000000"/>
          <w:sz w:val="22"/>
          <w:u w:val="single"/>
        </w:rPr>
        <w:t>Replacement of any L/C Issuer</w:t>
      </w:r>
      <w:r>
        <w:rPr>
          <w:rFonts w:ascii="Times New Roman;serif" w:hAnsi="Times New Roman;serif"/>
          <w:b w:val="false"/>
          <w:color w:val="000000"/>
          <w:sz w:val="22"/>
        </w:rPr>
        <w:t xml:space="preserve">. Any L/C Issuer may be replaced at any time by written agreement between the Borrowers, the Administrative Agent, the replaced L/C Issuer and the successor L/C Issuer. The Administrative Agent shall notify the Lenders of any such replacement of an L/C Issuer. At the time any such replacement shall become effective, the Borrowers shall pay all unpaid fees accrued for the account of the replaced L/C Issuer pursuant to </w:t>
      </w:r>
      <w:r>
        <w:rPr>
          <w:rFonts w:ascii="Times New Roman;serif" w:hAnsi="Times New Roman;serif"/>
          <w:b w:val="false"/>
          <w:color w:val="000000"/>
          <w:sz w:val="22"/>
          <w:u w:val="single"/>
        </w:rPr>
        <w:t>Section 2.03(m</w:t>
      </w:r>
      <w:r>
        <w:rPr>
          <w:rFonts w:ascii="Times New Roman;serif" w:hAnsi="Times New Roman;serif"/>
          <w:b w:val="false"/>
          <w:color w:val="000000"/>
          <w:sz w:val="22"/>
        </w:rPr>
        <w:t>).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pStyle w:val="TextBody"/>
        <w:bidi w:val="0"/>
        <w:spacing w:lineRule="auto" w:line="240" w:before="0" w:after="240"/>
        <w:ind w:left="0" w:right="0" w:firstLine="720"/>
        <w:jc w:val="both"/>
        <w:rPr/>
      </w:pPr>
      <w:r>
        <w:rPr>
          <w:rFonts w:ascii="Times New Roman;serif" w:hAnsi="Times New Roman;serif"/>
          <w:b w:val="false"/>
          <w:color w:val="000000"/>
          <w:sz w:val="22"/>
        </w:rPr>
        <w:t>(q)</w:t>
      </w:r>
      <w:r>
        <w:rPr>
          <w:rFonts w:ascii="Times New Roman;serif" w:hAnsi="Times New Roman;serif"/>
          <w:b w:val="false"/>
          <w:color w:val="000000"/>
          <w:sz w:val="22"/>
          <w:u w:val="single"/>
        </w:rPr>
        <w:t>Cash Collateralization</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(i)If any Event of Default shall occur and be continuing, on the Business Day that the Borrowers receive notice from the Administrative Agent or the Required Revolving Lenders (or, if the maturity of the Loans has been accelerated, Revolving Lenders with L/C Obligations representing at least 66-2/3% of the total L/C Obligations) demanding the deposit of Cash Collateral pursuant to this </w:t>
      </w:r>
      <w:r>
        <w:rPr>
          <w:rFonts w:ascii="Times New Roman;serif" w:hAnsi="Times New Roman;serif"/>
          <w:b w:val="false"/>
          <w:color w:val="000000"/>
          <w:sz w:val="22"/>
          <w:u w:val="single"/>
        </w:rPr>
        <w:t>clause (q</w:t>
      </w:r>
      <w:r>
        <w:rPr>
          <w:rFonts w:ascii="Times New Roman;serif" w:hAnsi="Times New Roman;serif"/>
          <w:b w:val="false"/>
          <w:color w:val="000000"/>
          <w:sz w:val="22"/>
        </w:rPr>
        <w:t>), the Borrowers shall immediately deposit into an account established and maintained on the books and records of the Administrative Agent (the “</w:t>
      </w:r>
      <w:r>
        <w:rPr>
          <w:rFonts w:ascii="Times New Roman;serif" w:hAnsi="Times New Roman;serif"/>
          <w:b w:val="false"/>
          <w:i/>
          <w:color w:val="000000"/>
          <w:sz w:val="22"/>
          <w:u w:val="single"/>
        </w:rPr>
        <w:t>Collateral Account</w:t>
      </w:r>
      <w:r>
        <w:rPr>
          <w:color w:val="000000"/>
        </w:rPr>
        <w:t>”</w:t>
      </w:r>
      <w:r>
        <w:rPr>
          <w:rFonts w:ascii="Times New Roman;serif" w:hAnsi="Times New Roman;serif"/>
          <w:b w:val="false"/>
          <w:color w:val="000000"/>
          <w:sz w:val="22"/>
        </w:rPr>
        <w:t xml:space="preserve">) an amount in cash equal to 105% of the total L/C Obligations as of such date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any accrued and unpaid interest thereon,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obligation to deposit such Cash Collateral shall become effective immediately, and such deposit shall become immediately due and payable, without demand or other notice of any kind, upon the occurrence of any Event of Default with respect to the Borrowers described in </w:t>
      </w:r>
      <w:r>
        <w:rPr>
          <w:rFonts w:ascii="Times New Roman;serif" w:hAnsi="Times New Roman;serif"/>
          <w:b w:val="false"/>
          <w:color w:val="000000"/>
          <w:sz w:val="22"/>
          <w:u w:val="single"/>
        </w:rPr>
        <w:t>clause (f</w:t>
      </w:r>
      <w:r>
        <w:rPr>
          <w:rFonts w:ascii="Times New Roman;serif" w:hAnsi="Times New Roman;serif"/>
          <w:b w:val="false"/>
          <w:color w:val="000000"/>
          <w:sz w:val="22"/>
        </w:rPr>
        <w:t xml:space="preserve">) of </w:t>
      </w:r>
      <w:r>
        <w:rPr>
          <w:rFonts w:ascii="Times New Roman;serif" w:hAnsi="Times New Roman;serif"/>
          <w:b w:val="false"/>
          <w:color w:val="000000"/>
          <w:sz w:val="22"/>
          <w:u w:val="single"/>
        </w:rPr>
        <w:t>Section 8.01</w:t>
      </w:r>
      <w:r>
        <w:rPr>
          <w:rFonts w:ascii="Times New Roman;serif" w:hAnsi="Times New Roman;serif"/>
          <w:b w:val="false"/>
          <w:color w:val="000000"/>
          <w:sz w:val="22"/>
        </w:rPr>
        <w:t xml:space="preserve">. Such deposit shall be held by the Administrative Agent as collateral for the payment and performance of the obligations of the Borrowers under this Agreement. In addition, and without limiting the foregoing or </w:t>
      </w:r>
      <w:r>
        <w:rPr>
          <w:rFonts w:ascii="Times New Roman;serif" w:hAnsi="Times New Roman;serif"/>
          <w:b w:val="false"/>
          <w:color w:val="000000"/>
          <w:sz w:val="22"/>
          <w:u w:val="single"/>
        </w:rPr>
        <w:t>clause (d</w:t>
      </w:r>
      <w:r>
        <w:rPr>
          <w:rFonts w:ascii="Times New Roman;serif" w:hAnsi="Times New Roman;serif"/>
          <w:b w:val="false"/>
          <w:color w:val="000000"/>
          <w:sz w:val="22"/>
        </w:rPr>
        <w:t xml:space="preserve">) of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 xml:space="preserve">, if any L/C Obligations remain outstanding after the expiration date specified in said </w:t>
      </w:r>
      <w:r>
        <w:rPr>
          <w:rFonts w:ascii="Times New Roman;serif" w:hAnsi="Times New Roman;serif"/>
          <w:b w:val="false"/>
          <w:color w:val="000000"/>
          <w:sz w:val="22"/>
          <w:u w:val="single"/>
        </w:rPr>
        <w:t>clause (d</w:t>
      </w:r>
      <w:r>
        <w:rPr>
          <w:rFonts w:ascii="Times New Roman;serif" w:hAnsi="Times New Roman;serif"/>
          <w:b w:val="false"/>
          <w:color w:val="000000"/>
          <w:sz w:val="22"/>
        </w:rPr>
        <w:t xml:space="preserve">), the Borrowers shall immediately deposit into the Collateral Account an amount in cash equal to 105% of such L/C Obligations as of such date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any accrued and unpaid interest thereon.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(ii)The Administrative Agent shall have exclusive dominion and control, including the exclusive right of withdrawal, over the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Collateral Account. Moneys in the Collateral Account shall be applied by the Administrative Agent to reimburse each L/C Issuer for L/C Disbursements for which it has not been reimbursed, together with related fees, costs, and customary processing charges, and, to the extent not so applied, shall be held for the satisfaction of the reimbursement obligations of the Borrowers for the L/C Obligations at such time or, if the maturity of the Loans has been accelerated (but subject to the consent of Lenders with L/C Obligations representing 66-2/3% of the total L/C Obligations), be applied to satisfy other obligations of the Borrowers under this Agreement. If the Borrowers are required to provide an amount of Cash Collateral hereunder as a result of the occurrence of an Event of Default, such amount (to the extent not applied as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85445"/>
                <wp:effectExtent l="0" t="0" r="0" b="0"/>
                <wp:wrapNone/>
                <wp:docPr id="96" name="Frame9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aforesaid) shall be returned to the Borrowers within three (3) Business Days after all Events of Default have been cured or waived.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(r)</w:t>
      </w:r>
      <w:r>
        <w:rPr>
          <w:rFonts w:ascii="Times New Roman;serif" w:hAnsi="Times New Roman;serif"/>
          <w:b w:val="false"/>
          <w:color w:val="000000"/>
          <w:sz w:val="22"/>
          <w:u w:val="single"/>
        </w:rPr>
        <w:t>L/C Issuer Reports to the Administrative Agent</w:t>
      </w:r>
      <w:r>
        <w:rPr>
          <w:rFonts w:ascii="Times New Roman;serif" w:hAnsi="Times New Roman;serif"/>
          <w:b w:val="false"/>
          <w:color w:val="000000"/>
          <w:sz w:val="22"/>
        </w:rPr>
        <w:t xml:space="preserve">. Unless </w:t>
      </w:r>
      <w:r>
        <w:rPr>
          <w:rFonts w:ascii="Times New Roman;serif" w:hAnsi="Times New Roman;serif"/>
          <w:b w:val="false"/>
          <w:color w:val="000000"/>
          <w:sz w:val="20"/>
        </w:rPr>
        <w:t>otherwise</w:t>
      </w:r>
      <w:r>
        <w:rPr>
          <w:color w:val="000000"/>
        </w:rPr>
        <w:t xml:space="preserve"> </w:t>
      </w:r>
      <w:r>
        <w:rPr>
          <w:rFonts w:ascii="Times New Roman;serif" w:hAnsi="Times New Roman;serif"/>
          <w:b w:val="false"/>
          <w:color w:val="000000"/>
          <w:sz w:val="22"/>
        </w:rPr>
        <w:t xml:space="preserve">agreed by the Administrative Agent, each L/C Issuer shall, in addition to its notification obligations set forth elsewhere in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 provide the Administrative Agent a Letter of Credit Report, as set forth below:</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(i)reasonably prior to the time that such L/C Issuer issues, amends, renews, increases or extends a Letter of Credit, the date of such issuance, amendment, renewal, increase or extension and the stated amount of the applicable Letters of Credit after giving effect to such issuance, amendment, renewal or extension (and whether the amounts thereof shall have changed);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(ii)on each Business Day on which such L/C Issuer makes a payment pursuant to a Letter of Credit, the date and amount of such payment;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(iii)on any Business Day on which the Borrowers fail to reimburse a payment made pursuant to a Letter of Credit required to be reimbursed to such L/C Issuer on such day, the date of such failure and the amount of such payment;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(iv)on any other Business Day, such other information as the Administrative Agent shall reasonably request as to the Letters of Credit issued by such L/C Issuer;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(v)for so long as any Letter of Credit issued by an L/C Issuer is outstanding, such L/C Issuer shall deliver to the Administrative Agent (A) on the last Business Day of each calendar month, (B) at all other times a Letter of Credit Report is required to be delivered pursuant to this Agreement, and (C) on each date that (1) an L/C Credit Extension occurs or (2) there is any expiration, cancellation and/or disbursement, in each case, with respect to any such Letter of Credit, a Letter of Credit Report appropriately completed with the information for every outstanding Letter of Credit issued by such L/C Issuer.</w:t>
      </w:r>
    </w:p>
    <w:p>
      <w:pPr>
        <w:pStyle w:val="TextBody"/>
        <w:bidi w:val="0"/>
        <w:spacing w:lineRule="auto" w:line="240" w:before="0" w:after="240"/>
        <w:ind w:left="0" w:right="0" w:firstLine="720"/>
        <w:jc w:val="both"/>
        <w:rPr/>
      </w:pPr>
      <w:r>
        <w:rPr>
          <w:rFonts w:ascii="Times New Roman;serif" w:hAnsi="Times New Roman;serif"/>
          <w:b w:val="false"/>
          <w:color w:val="000000"/>
          <w:sz w:val="22"/>
        </w:rPr>
        <w:t>(s)</w:t>
      </w:r>
      <w:r>
        <w:rPr>
          <w:rFonts w:ascii="Times New Roman;serif" w:hAnsi="Times New Roman;serif"/>
          <w:b w:val="false"/>
          <w:color w:val="000000"/>
          <w:sz w:val="22"/>
          <w:u w:val="single"/>
        </w:rPr>
        <w:t>Additional L/C Issuers</w:t>
      </w:r>
      <w:r>
        <w:rPr>
          <w:rFonts w:ascii="Times New Roman;serif" w:hAnsi="Times New Roman;serif"/>
          <w:b w:val="false"/>
          <w:color w:val="000000"/>
          <w:sz w:val="22"/>
        </w:rPr>
        <w:t>. Any Lender hereunder may become an L/C Issuer upon receipt by the Administrative Agent of a fully executed Notice of Additional L/C Issuer which shall be signed by the Borrowers, the Administrative Agent and each L/C Issuer. Such new L/C Issuer shall provide its L/C Commitment in such Notice of Additional L/C Issuer and upon the receipt by the Administrative Agent of the fully executed Notice of Additional L/C Issuer, the defined term L/C Commitment shall be deemed amended to incorporate the L/C Commitment of such new L/C Issuer.</w:t>
      </w:r>
    </w:p>
    <w:p>
      <w:pPr>
        <w:pStyle w:val="TextBody"/>
        <w:bidi w:val="0"/>
        <w:spacing w:lineRule="auto" w:line="240" w:before="0" w:after="240"/>
        <w:ind w:left="0" w:right="0" w:firstLine="720"/>
        <w:jc w:val="both"/>
        <w:rPr/>
      </w:pPr>
      <w:r>
        <w:rPr>
          <w:rFonts w:ascii="Times New Roman;serif" w:hAnsi="Times New Roman;serif"/>
          <w:b w:val="false"/>
          <w:color w:val="000000"/>
          <w:sz w:val="22"/>
        </w:rPr>
        <w:t>(t)</w:t>
      </w:r>
      <w:r>
        <w:rPr>
          <w:rFonts w:ascii="Times New Roman;serif" w:hAnsi="Times New Roman;serif"/>
          <w:b w:val="false"/>
          <w:color w:val="000000"/>
          <w:sz w:val="22"/>
          <w:u w:val="single"/>
        </w:rPr>
        <w:t>Letters of Credit Issued for Subsidiaries</w:t>
      </w:r>
      <w:r>
        <w:rPr>
          <w:rFonts w:ascii="Times New Roman;serif" w:hAnsi="Times New Roman;serif"/>
          <w:b w:val="false"/>
          <w:color w:val="000000"/>
          <w:sz w:val="22"/>
        </w:rPr>
        <w:t>. Notwithstanding that a Letter of Credit issued or outstanding hereunder is in support of any obligations of, or is for the account of, a Subsidiary, the Borrowers shall be obligated to reimburse, indemnify and compensate the applicable L/C Issuer hereunder for any and all drawings under such Letter of Credit as if such Letter of Credit had been issued solely for the account of the Borrowers. The Borrowers irrevocably waive any and all defenses that might otherwise be available to it as a guarantor or surety of any or all of the obligations of such Subsidiary in respect of such Letter of Credit. The Borrowers hereby acknowledge that the issuance of Letters of Credit for the account of Subsidiaries inures to the benefit of the Borrowers, and that the Borrowers’ business derives substantial benefits from the businesses of such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(u)</w:t>
      </w:r>
      <w:r>
        <w:rPr>
          <w:rFonts w:ascii="Times New Roman;serif" w:hAnsi="Times New Roman;serif"/>
          <w:b w:val="false"/>
          <w:color w:val="000000"/>
          <w:sz w:val="22"/>
          <w:u w:val="single"/>
        </w:rPr>
        <w:t>Conflict with Issuer Documents</w:t>
      </w:r>
      <w:r>
        <w:rPr>
          <w:rFonts w:ascii="Times New Roman;serif" w:hAnsi="Times New Roman;serif"/>
          <w:b w:val="false"/>
          <w:color w:val="000000"/>
          <w:sz w:val="22"/>
        </w:rPr>
        <w:t>. In the event of any conflict between the terms hereof and the terms of any Issuer Document, the terms hereof shall control.</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85445"/>
                <wp:effectExtent l="0" t="0" r="0" b="0"/>
                <wp:wrapNone/>
                <wp:docPr id="97" name="Frame9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2.04</w:t>
      </w:r>
      <w:r>
        <w:rPr>
          <w:rFonts w:ascii="Times New Roman;serif" w:hAnsi="Times New Roman;serif"/>
          <w:b/>
          <w:color w:val="000000"/>
          <w:sz w:val="22"/>
          <w:u w:val="single"/>
        </w:rPr>
        <w:t>Swingline Loans</w:t>
      </w:r>
      <w:r>
        <w:rPr>
          <w:rFonts w:ascii="Times New Roman;serif" w:hAnsi="Times New Roman;serif"/>
          <w:b/>
          <w:color w:val="000000"/>
          <w:sz w:val="22"/>
        </w:rPr>
        <w:t>.</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The Swingline</w:t>
      </w:r>
      <w:r>
        <w:rPr>
          <w:rFonts w:ascii="Times New Roman;serif" w:hAnsi="Times New Roman;serif"/>
          <w:b w:val="false"/>
          <w:color w:val="000000"/>
          <w:sz w:val="22"/>
        </w:rPr>
        <w:t xml:space="preserve">. Subject to the terms and conditions set forth herein, the Swingline Lender, in reliance upon the agreements of the other Lenders set forth in this </w:t>
      </w:r>
      <w:r>
        <w:rPr>
          <w:rFonts w:ascii="Times New Roman;serif" w:hAnsi="Times New Roman;serif"/>
          <w:b w:val="false"/>
          <w:color w:val="000000"/>
          <w:sz w:val="22"/>
          <w:u w:val="single"/>
        </w:rPr>
        <w:t>Section 2.04</w:t>
      </w:r>
      <w:r>
        <w:rPr>
          <w:rFonts w:ascii="Times New Roman;serif" w:hAnsi="Times New Roman;serif"/>
          <w:b w:val="false"/>
          <w:color w:val="000000"/>
          <w:sz w:val="22"/>
        </w:rPr>
        <w:t>, may in its sole discretion make loans to the Company (each such loan, a “</w:t>
      </w:r>
      <w:r>
        <w:rPr>
          <w:rFonts w:ascii="Times New Roman;serif" w:hAnsi="Times New Roman;serif"/>
          <w:b w:val="false"/>
          <w:i/>
          <w:color w:val="000000"/>
          <w:sz w:val="22"/>
          <w:u w:val="single"/>
        </w:rPr>
        <w:t>Swingline Loan</w:t>
      </w:r>
      <w:r>
        <w:rPr>
          <w:color w:val="000000"/>
        </w:rPr>
        <w:t>”</w:t>
      </w:r>
      <w:r>
        <w:rPr>
          <w:rFonts w:ascii="Times New Roman;serif" w:hAnsi="Times New Roman;serif"/>
          <w:b w:val="false"/>
          <w:color w:val="000000"/>
          <w:sz w:val="22"/>
        </w:rPr>
        <w:t xml:space="preserve">). Each such Swingline Loan may be made, subject to the terms and conditions set forth herein, to the Company, in Dollars, from time to time on any Business Day during the Availability Period in an aggregate amount not to exceed at any time outstanding the amount of the Swingline Sublimit;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(i) after giving effect to any Swingline Loan, (A) the Total Revolving Outstandings shall not exceed the Revolving Facility at such time, (B) the Revolving Exposure of any Revolving Lender at such time shall not exceed such Lender’s Revolving Commitment and (C) the aggregate amount of all Swingline Loans outstanding shall not exceed the Swingline Commitment of the Swingline Lender, (ii) the Company shall not use the proceeds of any Swingline Loan to refinance any outstanding Swingline Loan, and (iii) the Swingline Lender shall not be under any obligation to make any Swingline Loan if it shall determine (which determination shall be conclusive and binding absent manifest error) that it has, or by such Credit Extension may have, Fronting Exposure. Within the foregoing limits, and subject to the other terms and conditions hereof, the Company may borrow under this </w:t>
      </w:r>
      <w:r>
        <w:rPr>
          <w:rFonts w:ascii="Times New Roman;serif" w:hAnsi="Times New Roman;serif"/>
          <w:b w:val="false"/>
          <w:color w:val="000000"/>
          <w:sz w:val="22"/>
          <w:u w:val="single"/>
        </w:rPr>
        <w:t>Section 2.04</w:t>
      </w:r>
      <w:r>
        <w:rPr>
          <w:rFonts w:ascii="Times New Roman;serif" w:hAnsi="Times New Roman;serif"/>
          <w:b w:val="false"/>
          <w:color w:val="000000"/>
          <w:sz w:val="22"/>
        </w:rPr>
        <w:t xml:space="preserve">, prepay under </w:t>
      </w:r>
      <w:r>
        <w:rPr>
          <w:rFonts w:ascii="Times New Roman;serif" w:hAnsi="Times New Roman;serif"/>
          <w:b w:val="false"/>
          <w:color w:val="000000"/>
          <w:sz w:val="22"/>
          <w:u w:val="single"/>
        </w:rPr>
        <w:t>Section 2.05</w:t>
      </w:r>
      <w:r>
        <w:rPr>
          <w:rFonts w:ascii="Times New Roman;serif" w:hAnsi="Times New Roman;serif"/>
          <w:b w:val="false"/>
          <w:color w:val="000000"/>
          <w:sz w:val="22"/>
        </w:rPr>
        <w:t xml:space="preserve">, and reborrow under this </w:t>
      </w:r>
      <w:r>
        <w:rPr>
          <w:rFonts w:ascii="Times New Roman;serif" w:hAnsi="Times New Roman;serif"/>
          <w:b w:val="false"/>
          <w:color w:val="000000"/>
          <w:sz w:val="22"/>
          <w:u w:val="single"/>
        </w:rPr>
        <w:t>Section 2.04</w:t>
      </w:r>
      <w:r>
        <w:rPr>
          <w:rFonts w:ascii="Times New Roman;serif" w:hAnsi="Times New Roman;serif"/>
          <w:b w:val="false"/>
          <w:color w:val="000000"/>
          <w:sz w:val="22"/>
        </w:rPr>
        <w:t>. Each Swingline Loan shall bear interest only at a rate based on the Base Rate plus the Applicable Rate. Immediately upon the making of a Swingline Loan, each Revolving Lender shall be deemed to, and hereby irrevocably and unconditionally agrees to, purchase from the Swingline Lender a risk participation in such Swingline Loan in an amount equal to the product of such Revolving Lender’s Applicable Revolving Percentage times the amount of such Swingline Loan.</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Borrowing Procedures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(i)Each Swingline Borrowing shall be made upon the Company’s irrevocable notice to the Swingline Lender and the Administrative Agent, which may be given by: (A) telephone or (B) a Swingline Loan Notice;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any telephonic notice must be confirmed immediately by delivery to the Swingline Lender and the Administrative Agent of a Swingline Loan Notice. Each such Swingline Loan Notice must be received by the Swingline Lender and the Administrative Agent not later than 1:00 p.m. on the requested borrowing date, and shall specify (A) the amount to be borrowed, which shall be a minimum of $100,000, and (B) the requested date of the Borrowing (which shall be a Business Day). Promptly after receipt by the Swingline Lender of any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any Revolving Lender) prior to 2:00 p.m. on the date of the proposed Swingline Borrowing (1) directing the Swingline Lender not to make such Swingline Loan as a result of the limitations set forth in the first proviso to the first sentence of </w:t>
      </w:r>
      <w:r>
        <w:rPr>
          <w:rFonts w:ascii="Times New Roman;serif" w:hAnsi="Times New Roman;serif"/>
          <w:b w:val="false"/>
          <w:color w:val="000000"/>
          <w:sz w:val="22"/>
          <w:u w:val="single"/>
        </w:rPr>
        <w:t>Section 2.04(a</w:t>
      </w:r>
      <w:r>
        <w:rPr>
          <w:rFonts w:ascii="Times New Roman;serif" w:hAnsi="Times New Roman;serif"/>
          <w:b w:val="false"/>
          <w:color w:val="000000"/>
          <w:sz w:val="22"/>
        </w:rPr>
        <w:t xml:space="preserve">), or (2) that one or more of the applicable conditions specified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is not then satisfied, then, subject to the terms and conditions hereof, the Swingline Lender will, not later than 3:00 p.m. on the borrowing date specified in such Swingline Loan Notice may, make the amount of its Swingline Loan available to the Company at its office by crediting the account of the Company on the books of the Swingline Lender in Same Day Funds.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Refinancing of Swingline Loans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(i)The Swingline Lender at any time in its sole discretion may request, on behalf of the Company (which hereby irrevocably authorizes the Swingline Lender to so request on its behalf), that each Revolving Lender make a Base Rate Loan in an amount equal to such Lender’s Applicable Revolving Percentage of the amount of Swingline Loans then outstanding. Such request shall be made in writing (which written request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85445"/>
                <wp:effectExtent l="0" t="0" r="0" b="0"/>
                <wp:wrapNone/>
                <wp:docPr id="98" name="Frame9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shall be deemed to be a Loan Notice for purposes hereof) and in accordance with the requirements of </w:t>
      </w:r>
      <w:r>
        <w:rPr>
          <w:rFonts w:ascii="Times New Roman;serif" w:hAnsi="Times New Roman;serif"/>
          <w:b w:val="false"/>
          <w:color w:val="000000"/>
          <w:sz w:val="22"/>
          <w:u w:val="single"/>
        </w:rPr>
        <w:t>Section 2.02</w:t>
      </w:r>
      <w:r>
        <w:rPr>
          <w:rFonts w:ascii="Times New Roman;serif" w:hAnsi="Times New Roman;serif"/>
          <w:b w:val="false"/>
          <w:color w:val="000000"/>
          <w:sz w:val="22"/>
        </w:rPr>
        <w:t xml:space="preserve">, without regard to the minimum and multiples specified therein for the principal amount of Base Rate Loans, but subject to the unutilized portion of the Revolving Facility and the conditions set forth in </w:t>
      </w:r>
      <w:r>
        <w:rPr>
          <w:rFonts w:ascii="Times New Roman;serif" w:hAnsi="Times New Roman;serif"/>
          <w:b w:val="false"/>
          <w:color w:val="000000"/>
          <w:sz w:val="22"/>
          <w:u w:val="single"/>
        </w:rPr>
        <w:t>Section 4.02</w:t>
      </w:r>
      <w:r>
        <w:rPr>
          <w:rFonts w:ascii="Times New Roman;serif" w:hAnsi="Times New Roman;serif"/>
          <w:b w:val="false"/>
          <w:color w:val="000000"/>
          <w:sz w:val="22"/>
        </w:rPr>
        <w:t xml:space="preserve">. The Swingline Lender shall furnish the Company with a copy of the applicable Loan Notice promptly after delivering such notice to the Administrative Agent. Each Revolving Lender shall make an amount equal to its Applicable Revolving Percentage of the amount specified in such Loan Notice available to the Administrative Agent in Same Day Funds (and the Administrative Agent may apply Cash Collateral available with respect to the applicable Swingline Loan) for the account of the Swingline Lender at the Administrative Agent’s Office not later than 1:00 p.m. on the day specified in such Loan Notice, whereupon, subject to </w:t>
      </w:r>
      <w:r>
        <w:rPr>
          <w:rFonts w:ascii="Times New Roman;serif" w:hAnsi="Times New Roman;serif"/>
          <w:b w:val="false"/>
          <w:color w:val="000000"/>
          <w:sz w:val="22"/>
          <w:u w:val="single"/>
        </w:rPr>
        <w:t>Section 2.04(c)(ii</w:t>
      </w:r>
      <w:r>
        <w:rPr>
          <w:rFonts w:ascii="Times New Roman;serif" w:hAnsi="Times New Roman;serif"/>
          <w:b w:val="false"/>
          <w:color w:val="000000"/>
          <w:sz w:val="22"/>
        </w:rPr>
        <w:t>), each Revolving Lender that so makes funds available shall be deemed to have made a Base Rate Loan to the Company in such amount. The Administrative Agent shall remit the funds so received to the Swingline Lender.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(ii)Notwithstanding anything to the contrary in the foregoing, if for any reason any Swingline Loan cannot be refinanced by such a Revolving Borrowing in accordance with </w:t>
      </w:r>
      <w:r>
        <w:rPr>
          <w:rFonts w:ascii="Times New Roman;serif" w:hAnsi="Times New Roman;serif"/>
          <w:b w:val="false"/>
          <w:color w:val="000000"/>
          <w:sz w:val="22"/>
          <w:u w:val="single"/>
        </w:rPr>
        <w:t>Section 2.04(c)(i</w:t>
      </w:r>
      <w:r>
        <w:rPr>
          <w:rFonts w:ascii="Times New Roman;serif" w:hAnsi="Times New Roman;serif"/>
          <w:b w:val="false"/>
          <w:color w:val="000000"/>
          <w:sz w:val="22"/>
        </w:rPr>
        <w:t xml:space="preserve">) (including, without limitation, the failure to satisfy the conditions set forth in </w:t>
      </w:r>
      <w:r>
        <w:rPr>
          <w:rFonts w:ascii="Times New Roman;serif" w:hAnsi="Times New Roman;serif"/>
          <w:b w:val="false"/>
          <w:color w:val="000000"/>
          <w:sz w:val="22"/>
          <w:u w:val="single"/>
        </w:rPr>
        <w:t>Section 4.02</w:t>
      </w:r>
      <w:r>
        <w:rPr>
          <w:rFonts w:ascii="Times New Roman;serif" w:hAnsi="Times New Roman;serif"/>
          <w:b w:val="false"/>
          <w:color w:val="000000"/>
          <w:sz w:val="22"/>
        </w:rPr>
        <w:t xml:space="preserve">), the request for Base Rate Loans submitted by the Swingline Lender as set forth herein shall be deemed to be a request by the Swingline Lender that each of the Revolving Lenders fund its risk participation in the relevant Swingline Loan and each Revolving Lender’s payment to the Administrative Agent for the account of the Swingline Lender pursuant to </w:t>
      </w:r>
      <w:r>
        <w:rPr>
          <w:rFonts w:ascii="Times New Roman;serif" w:hAnsi="Times New Roman;serif"/>
          <w:b w:val="false"/>
          <w:color w:val="000000"/>
          <w:sz w:val="22"/>
          <w:u w:val="single"/>
        </w:rPr>
        <w:t>Section 2.04(c)(i</w:t>
      </w:r>
      <w:r>
        <w:rPr>
          <w:rFonts w:ascii="Times New Roman;serif" w:hAnsi="Times New Roman;serif"/>
          <w:b w:val="false"/>
          <w:color w:val="000000"/>
          <w:sz w:val="22"/>
        </w:rPr>
        <w:t>) shall be deemed payment in respect of such participation.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(iii)If any Revolving Lender fails to make available to the Administrative Agent for the account of the Swingline Lender any amount required to be paid by such Lender pursuant to the foregoing provisions of this </w:t>
      </w:r>
      <w:r>
        <w:rPr>
          <w:rFonts w:ascii="Times New Roman;serif" w:hAnsi="Times New Roman;serif"/>
          <w:b w:val="false"/>
          <w:color w:val="000000"/>
          <w:sz w:val="22"/>
          <w:u w:val="single"/>
        </w:rPr>
        <w:t>Section 2.04(c</w:t>
      </w:r>
      <w:r>
        <w:rPr>
          <w:rFonts w:ascii="Times New Roman;serif" w:hAnsi="Times New Roman;serif"/>
          <w:b w:val="false"/>
          <w:color w:val="000000"/>
          <w:sz w:val="22"/>
        </w:rPr>
        <w:t xml:space="preserve">) by the time specified in </w:t>
      </w:r>
      <w:r>
        <w:rPr>
          <w:rFonts w:ascii="Times New Roman;serif" w:hAnsi="Times New Roman;serif"/>
          <w:b w:val="false"/>
          <w:color w:val="000000"/>
          <w:sz w:val="22"/>
          <w:u w:val="single"/>
        </w:rPr>
        <w:t>Section 2.04(c)(i</w:t>
      </w:r>
      <w:r>
        <w:rPr>
          <w:rFonts w:ascii="Times New Roman;serif" w:hAnsi="Times New Roman;serif"/>
          <w:b w:val="false"/>
          <w:color w:val="000000"/>
          <w:sz w:val="22"/>
        </w:rPr>
        <w:t xml:space="preserve">), the Swingline Lender shall be entitled to recover from such Lender (acting through the Administrative Agent), on demand, such amount with interest thereon for the period from the date such payment is required to the date on which such payment is immediately available to the Swingline Lender at a rate per annum equal to the greater of the Federal Funds Rate and a rate determined by the Swingline Lender in accordance with banking industry rules on interbank compensation,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any administrative, processing or similar fees customarily charged by the Swingline Lender in connection with the foregoing. If such Lender pays such amount (with interest and fees as aforesaid), the amount so paid shall constitute such Lender’s Revolving Loan included in the relevant Revolving Borrowing or funded participation in the relevant Swingline Loan, as the case may be. A certificate of the Swingline Lender submitted to any Lender (through the Administrative Agent) with respect to any amounts owing under this </w:t>
      </w:r>
      <w:r>
        <w:rPr>
          <w:rFonts w:ascii="Times New Roman;serif" w:hAnsi="Times New Roman;serif"/>
          <w:b w:val="false"/>
          <w:color w:val="000000"/>
          <w:sz w:val="22"/>
          <w:u w:val="single"/>
        </w:rPr>
        <w:t>clause (c)(iii</w:t>
      </w:r>
      <w:r>
        <w:rPr>
          <w:rFonts w:ascii="Times New Roman;serif" w:hAnsi="Times New Roman;serif"/>
          <w:b w:val="false"/>
          <w:color w:val="000000"/>
          <w:sz w:val="22"/>
        </w:rPr>
        <w:t>) shall be conclusive absent manifest error.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(iv)Each Revolving Lender’s obligation to make Revolving Loans or to purchase and fund risk participations in Swingline Loans pursuant to this </w:t>
      </w:r>
      <w:r>
        <w:rPr>
          <w:rFonts w:ascii="Times New Roman;serif" w:hAnsi="Times New Roman;serif"/>
          <w:b w:val="false"/>
          <w:color w:val="000000"/>
          <w:sz w:val="22"/>
          <w:u w:val="single"/>
        </w:rPr>
        <w:t>Section 2.04(c</w:t>
      </w:r>
      <w:r>
        <w:rPr>
          <w:rFonts w:ascii="Times New Roman;serif" w:hAnsi="Times New Roman;serif"/>
          <w:b w:val="false"/>
          <w:color w:val="000000"/>
          <w:sz w:val="22"/>
        </w:rPr>
        <w:t xml:space="preserve">) shall be absolute and unconditional and shall not be affected by any circumstance, including (A) any setoff, counterclaim, recoupment, defense or other right which such Lender may have against the Swingline Lender, the Company or any other Person for any reason whatsoever, (B) the occurrence or continuance of a Default or (C) any other occurrence, event or condition, whether or not similar to any of the foregoing;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each Revolving Lender’s obligation to make Revolving Loans pursuant to this </w:t>
      </w:r>
      <w:r>
        <w:rPr>
          <w:rFonts w:ascii="Times New Roman;serif" w:hAnsi="Times New Roman;serif"/>
          <w:b w:val="false"/>
          <w:color w:val="000000"/>
          <w:sz w:val="22"/>
          <w:u w:val="single"/>
        </w:rPr>
        <w:t>Section 2.04(c</w:t>
      </w:r>
      <w:r>
        <w:rPr>
          <w:rFonts w:ascii="Times New Roman;serif" w:hAnsi="Times New Roman;serif"/>
          <w:b w:val="false"/>
          <w:color w:val="000000"/>
          <w:sz w:val="22"/>
        </w:rPr>
        <w:t xml:space="preserve">) is subject to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(other than delivery by the Company of a Loan Notice). No such funding of risk participations shall relieve or otherwise impair the obligation of the Company to repay Swingline Loans, together with interest as provided herein.</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Repayment of Participations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85445"/>
                <wp:effectExtent l="0" t="0" r="0" b="0"/>
                <wp:wrapNone/>
                <wp:docPr id="99" name="Frame9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(i)At any time after any Revolving Lender has purchased and funded a risk participation in a Swingline Loan, if the Swingline Lender receives any payment on account of such Swingline Loan, the Swingline Lender will distribute to such Revolving Lender its Applicable Revolving Percentage thereof in the same funds as those received by the Swingline Lender.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(ii)If any payment received by the Swingline Lender in respect of principal or interest on any Swingline Loan is required to be returned by the Swingline Lender under any of the circumstances described in </w:t>
      </w:r>
      <w:r>
        <w:rPr>
          <w:rFonts w:ascii="Times New Roman;serif" w:hAnsi="Times New Roman;serif"/>
          <w:b w:val="false"/>
          <w:color w:val="000000"/>
          <w:sz w:val="22"/>
          <w:u w:val="single"/>
        </w:rPr>
        <w:t>Section 11.05</w:t>
      </w:r>
      <w:r>
        <w:rPr>
          <w:color w:val="000000"/>
        </w:rPr>
        <w:t xml:space="preserve"> </w:t>
      </w:r>
      <w:r>
        <w:rPr>
          <w:rFonts w:ascii="Times New Roman;serif" w:hAnsi="Times New Roman;serif"/>
          <w:b w:val="false"/>
          <w:color w:val="000000"/>
          <w:sz w:val="22"/>
        </w:rPr>
        <w:t>(including pursuant to any settlement entered into by the Swingline Lender in its discretion), each Revolving Lender shall pay to the Swingline Lender its Applicable Revolving Percentage thereof on demand of the Administrative Agent, plus interest thereon from the date of such demand to the date such amount is returned, at a rate per annum equal to the Federal Funds Rate. The Administrative Agent will make such demand upon the request of the Swingline Lender. The obligations of the Lenders under this clause shall survive the payment in full of the Obligations and the termination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Interest for Account of Swingline Lender</w:t>
      </w:r>
      <w:r>
        <w:rPr>
          <w:rFonts w:ascii="Times New Roman;serif" w:hAnsi="Times New Roman;serif"/>
          <w:b w:val="false"/>
          <w:color w:val="000000"/>
          <w:sz w:val="22"/>
        </w:rPr>
        <w:t xml:space="preserve">. The Swingline Lender shall be responsible for invoicing the Company for interest on the Swingline Loans. Until each Revolving Lender funds its Base Rate Loan or risk participation pursuant to this </w:t>
      </w:r>
      <w:r>
        <w:rPr>
          <w:rFonts w:ascii="Times New Roman;serif" w:hAnsi="Times New Roman;serif"/>
          <w:b w:val="false"/>
          <w:color w:val="000000"/>
          <w:sz w:val="22"/>
          <w:u w:val="single"/>
        </w:rPr>
        <w:t>Section 2.04</w:t>
      </w:r>
      <w:r>
        <w:rPr>
          <w:color w:val="000000"/>
        </w:rPr>
        <w:t xml:space="preserve"> </w:t>
      </w:r>
      <w:r>
        <w:rPr>
          <w:rFonts w:ascii="Times New Roman;serif" w:hAnsi="Times New Roman;serif"/>
          <w:b w:val="false"/>
          <w:color w:val="000000"/>
          <w:sz w:val="22"/>
        </w:rPr>
        <w:t>to refinance such Revolving Lender’s Applicable Revolving Percentage of any Swingline Loan, interest in respect of such Applicable Revolving Percentage shall be solely for the account of the Swingline Lender.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Payments Directly to Swingline Lender</w:t>
      </w:r>
      <w:r>
        <w:rPr>
          <w:rFonts w:ascii="Times New Roman;serif" w:hAnsi="Times New Roman;serif"/>
          <w:b w:val="false"/>
          <w:color w:val="000000"/>
          <w:sz w:val="22"/>
        </w:rPr>
        <w:t>. The Borrowers shall make all payments of principal and interest in respect of the Swingline Loans directly to the Swingline Lender.</w:t>
      </w:r>
    </w:p>
    <w:p>
      <w:pPr>
        <w:pStyle w:val="TextBody"/>
        <w:bidi w:val="0"/>
        <w:spacing w:lineRule="auto" w:line="240" w:before="0" w:after="240"/>
        <w:ind w:left="0" w:right="0" w:firstLine="720"/>
        <w:jc w:val="both"/>
        <w:rPr/>
      </w:pPr>
      <w:r>
        <w:rPr>
          <w:rFonts w:ascii="Times New Roman;serif" w:hAnsi="Times New Roman;serif"/>
          <w:b/>
          <w:color w:val="000000"/>
          <w:sz w:val="22"/>
        </w:rPr>
        <w:t>2.05</w:t>
      </w:r>
      <w:r>
        <w:rPr>
          <w:rFonts w:ascii="Times New Roman;serif" w:hAnsi="Times New Roman;serif"/>
          <w:b/>
          <w:color w:val="000000"/>
          <w:sz w:val="22"/>
          <w:u w:val="single"/>
        </w:rPr>
        <w:t>Prepayments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Optional</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(i)The Borrowers may, upon notice to the Administrative Agent pursuant to delivery to the Administrative Agent of a Notice of Loan Prepayment, at any time or from time to time voluntarily prepay Term Loans and Revolving Loans in whole or in part without premium or penalty subject to </w:t>
      </w:r>
      <w:r>
        <w:rPr>
          <w:rFonts w:ascii="Times New Roman;serif" w:hAnsi="Times New Roman;serif"/>
          <w:b w:val="false"/>
          <w:color w:val="000000"/>
          <w:sz w:val="22"/>
          <w:u w:val="single"/>
        </w:rPr>
        <w:t>Section 3.05</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unless otherwise agreed by the Administrative Agent, (A) such notice must be received by the Administrative Agent not later than 11:00 a.m. (1) three (3) Business Days prior to any date of prepayment of Term SOFR Loans denominated in Dollars, (2) four (4) Business Days (or five (5), in the case of prepayment of Loans denominated in Special Notice Currencies) prior to any date of prepayment of any Alternative Currency Loans, and (3) on the date of prepayment of Base Rate Loans or Daily SOFR Loans; (B) any prepayment of Term SOFR Loans or Daily SOFR Loans denominated in Dollars shall be in a principal amount of $2,000,000 or a whole multiple of $1,000,000 in excess thereof; (C) any prepayment of Alternative Currency Loans shall be in a minimum principal amount of the Dollar Equivalent of $2,000,000 or a whole multiple of the Dollar Equivalent of $1,000,000 in excess thereof; and (D) any prepayment of Base Rate Loans shall be in a principal amount of $500,000 or a whole multiple of $100,000 in excess thereof or, in each case, if less, the entire principal amount thereof then outstanding. Each such notice shall specify the date, the currency and amount of such prepayment and the Type(s) of Loans to be prepaid and, if Term SOFR Loans or Alternative Currency Term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Borrowers, the Borrowers shall make such prepayment and the payment amount specified in such notice shall be due and payable on the date specified therein;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notice may state that such notice is conditioned on the occurrence of a refinancing of all or any portion of the Loans or the occurrence of any other event which would have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85445"/>
                <wp:effectExtent l="0" t="0" r="0" b="0"/>
                <wp:wrapNone/>
                <wp:docPr id="100" name="Frame10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provided the cash proceeds for the repayment in full and termination of the Facility, in which case such notice may be revoked by the Company (by written notice to Administrative Agent on or prior to the specified effective date of such refinancing or other such event) if such condition is not satisfied. Any prepayment of any Term SOFR Loan, any Daily SOFR Loan and any Alternative Currency Term Rate Loan shall be accompanied by all accrued interest on the amount prepaid, together with any additional amounts required pursuant to </w:t>
      </w:r>
      <w:r>
        <w:rPr>
          <w:rFonts w:ascii="Times New Roman;serif" w:hAnsi="Times New Roman;serif"/>
          <w:b w:val="false"/>
          <w:color w:val="000000"/>
          <w:sz w:val="22"/>
          <w:u w:val="single"/>
        </w:rPr>
        <w:t>Section 3.05</w:t>
      </w:r>
      <w:r>
        <w:rPr>
          <w:rFonts w:ascii="Times New Roman;serif" w:hAnsi="Times New Roman;serif"/>
          <w:b w:val="false"/>
          <w:color w:val="000000"/>
          <w:sz w:val="22"/>
        </w:rPr>
        <w:t xml:space="preserve">. Each prepayment of the outstanding Term Loans pursuant to this </w:t>
      </w:r>
      <w:r>
        <w:rPr>
          <w:rFonts w:ascii="Times New Roman;serif" w:hAnsi="Times New Roman;serif"/>
          <w:b w:val="false"/>
          <w:color w:val="000000"/>
          <w:sz w:val="22"/>
          <w:u w:val="single"/>
        </w:rPr>
        <w:t>Section 2.05(a)</w:t>
      </w:r>
      <w:r>
        <w:rPr>
          <w:color w:val="000000"/>
        </w:rPr>
        <w:t xml:space="preserve"> </w:t>
      </w:r>
      <w:r>
        <w:rPr>
          <w:rFonts w:ascii="Times New Roman;serif" w:hAnsi="Times New Roman;serif"/>
          <w:b w:val="false"/>
          <w:color w:val="000000"/>
          <w:sz w:val="22"/>
        </w:rPr>
        <w:t xml:space="preserve">shall be applied to the principal repayment installments thereof in inverse order of maturity. Subject to </w:t>
      </w:r>
      <w:r>
        <w:rPr>
          <w:rFonts w:ascii="Times New Roman;serif" w:hAnsi="Times New Roman;serif"/>
          <w:b w:val="false"/>
          <w:color w:val="000000"/>
          <w:sz w:val="22"/>
          <w:u w:val="single"/>
        </w:rPr>
        <w:t>Section 2.15</w:t>
      </w:r>
      <w:r>
        <w:rPr>
          <w:rFonts w:ascii="Times New Roman;serif" w:hAnsi="Times New Roman;serif"/>
          <w:b w:val="false"/>
          <w:color w:val="000000"/>
          <w:sz w:val="22"/>
        </w:rPr>
        <w:t>, such prepayments shall be paid to the Lenders in accordance with their respective Applicable Percentages in respect of each of the relevant Facilities.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(ii)The Borrowers may, upon notice to the Swingline Lender pursuant to delivery to the Swingline Lender of a Notice of Loan Prepayment (with a copy to the Administrative Agent), at any time or from time to time, voluntarily prepay Swingline Loans in whole or in part without premium or penalty;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unless otherwise agreed by the Swingline Lender, (A) such notice must be received by the Swingline Lender and the Administrative Agent not later than 1:00 p.m. on the date of the prepayment, and (B) any such prepayment shall be in a minimum principal amount of $100,000 or a whole multiple of $100,000 in excess thereof (or, if less, the entire principal thereof then outstanding). Each such notice shall specify the date and amount of such prepayment. If such notice is given by the Borrowers, the Borrowers shall make such prepayment and the payment amount specified in such notice shall be due and payable on the date specified therein. </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Mandatory</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Revolving Outstandings</w:t>
      </w:r>
      <w:r>
        <w:rPr>
          <w:rFonts w:ascii="Times New Roman;serif" w:hAnsi="Times New Roman;serif"/>
          <w:b w:val="false"/>
          <w:color w:val="000000"/>
          <w:sz w:val="22"/>
        </w:rPr>
        <w:t xml:space="preserve">. If for any reason the Total Revolving Outstandings at any time exceed the Revolving Facility (including, for the avoidance of doubt, at any time the Total Revolving Outstandings exceed the Seasonal Decrease Amount during the Seasonal Decrease Period) at such time, the Borrowers shall immediately prepay Revolving Loans, Swingline Loans and L/C Borrowings (together with all accrued but unpaid interest thereon) and/or Cash Collateralize the L/C Obligations in an aggregate amount equal to such excess;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the Borrowers shall not be required to Cash Collateralize the L/C Obligations pursuant to this </w:t>
      </w:r>
      <w:r>
        <w:rPr>
          <w:rFonts w:ascii="Times New Roman;serif" w:hAnsi="Times New Roman;serif"/>
          <w:b w:val="false"/>
          <w:color w:val="000000"/>
          <w:sz w:val="22"/>
          <w:u w:val="single"/>
        </w:rPr>
        <w:t>Section 2.05(b</w:t>
      </w:r>
      <w:r>
        <w:rPr>
          <w:rFonts w:ascii="Times New Roman;serif" w:hAnsi="Times New Roman;serif"/>
          <w:b w:val="false"/>
          <w:color w:val="000000"/>
          <w:sz w:val="22"/>
        </w:rPr>
        <w:t>) unless, after the prepayment of the Revolving Loans and Swingline Loans, the Total Revolving Outstandings exceed the Revolving Facility at such time.</w:t>
      </w:r>
    </w:p>
    <w:p>
      <w:pPr>
        <w:pStyle w:val="TextBody"/>
        <w:bidi w:val="0"/>
        <w:spacing w:lineRule="auto" w:line="240" w:before="0" w:after="24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Application of Other Payments</w:t>
      </w:r>
      <w:r>
        <w:rPr>
          <w:rFonts w:ascii="Times New Roman;serif" w:hAnsi="Times New Roman;serif"/>
          <w:b w:val="false"/>
          <w:color w:val="000000"/>
          <w:sz w:val="22"/>
        </w:rPr>
        <w:t xml:space="preserve">. Except as otherwise provided in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prepayments of the Revolving Facility made pursuant to this </w:t>
      </w:r>
      <w:r>
        <w:rPr>
          <w:rFonts w:ascii="Times New Roman;serif" w:hAnsi="Times New Roman;serif"/>
          <w:b w:val="false"/>
          <w:color w:val="000000"/>
          <w:sz w:val="22"/>
          <w:u w:val="single"/>
        </w:rPr>
        <w:t>Section 2.05(b</w:t>
      </w:r>
      <w:r>
        <w:rPr>
          <w:rFonts w:ascii="Times New Roman;serif" w:hAnsi="Times New Roman;serif"/>
          <w:b w:val="false"/>
          <w:color w:val="000000"/>
          <w:sz w:val="22"/>
        </w:rPr>
        <w:t xml:space="preserve">), </w:t>
      </w:r>
      <w:r>
        <w:rPr>
          <w:rFonts w:ascii="Times New Roman;serif" w:hAnsi="Times New Roman;serif"/>
          <w:b w:val="false"/>
          <w:i/>
          <w:color w:val="000000"/>
          <w:sz w:val="22"/>
          <w:u w:val="single"/>
        </w:rPr>
        <w:t>first</w:t>
      </w:r>
      <w:r>
        <w:rPr>
          <w:rFonts w:ascii="Times New Roman;serif" w:hAnsi="Times New Roman;serif"/>
          <w:b w:val="false"/>
          <w:color w:val="000000"/>
          <w:sz w:val="22"/>
        </w:rPr>
        <w:t xml:space="preserve">, shall be applied ratably to the L/C Borrowings and the Swingline Loans, </w:t>
      </w:r>
      <w:r>
        <w:rPr>
          <w:rFonts w:ascii="Times New Roman;serif" w:hAnsi="Times New Roman;serif"/>
          <w:b w:val="false"/>
          <w:i/>
          <w:color w:val="000000"/>
          <w:sz w:val="22"/>
          <w:u w:val="single"/>
        </w:rPr>
        <w:t>second</w:t>
      </w:r>
      <w:r>
        <w:rPr>
          <w:rFonts w:ascii="Times New Roman;serif" w:hAnsi="Times New Roman;serif"/>
          <w:b w:val="false"/>
          <w:color w:val="000000"/>
          <w:sz w:val="22"/>
        </w:rPr>
        <w:t xml:space="preserve">, shall be applied to the outstanding Revolving Loans, and, </w:t>
      </w:r>
      <w:r>
        <w:rPr>
          <w:rFonts w:ascii="Times New Roman;serif" w:hAnsi="Times New Roman;serif"/>
          <w:b w:val="false"/>
          <w:i/>
          <w:color w:val="000000"/>
          <w:sz w:val="22"/>
          <w:u w:val="single"/>
        </w:rPr>
        <w:t>third</w:t>
      </w:r>
      <w:r>
        <w:rPr>
          <w:rFonts w:ascii="Times New Roman;serif" w:hAnsi="Times New Roman;serif"/>
          <w:b w:val="false"/>
          <w:color w:val="000000"/>
          <w:sz w:val="22"/>
        </w:rPr>
        <w:t>, shall be used to Cash Collateralize the remaining L/C Obligations. Upon the drawing of any Letter of Credit that has been Cash Collateralized, the funds held as Cash Collateral shall be applied (without any further action by or notice to or from any Borrower or any other Loan Party or any Defaulting Lender that has provided Cash Collateral) to reimburse the applicable L/C Issuers or the Revolving Lenders,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Alternative Currencies</w:t>
      </w:r>
      <w:r>
        <w:rPr>
          <w:rFonts w:ascii="Times New Roman;serif" w:hAnsi="Times New Roman;serif"/>
          <w:b w:val="false"/>
          <w:color w:val="000000"/>
          <w:sz w:val="22"/>
        </w:rPr>
        <w:t>. If the Administrative Agent notifies the Company at any time that the Outstanding Amount of all Loans and L/C Obligations denominated in Alternative Currencies at such time exceeds an amount equal to 105% of the Alternative Currency Sublimit then in effect, then, within two (2) Business Days after receipt of such notice, the Borrowers shall prepay Loans and/or Cash Collateralize Letters of Credit in an aggregate amount sufficient to reduce such Outstanding Amount as of such date of payment</w:t>
      </w:r>
      <w:r>
        <w:rPr>
          <w:color w:val="000000"/>
        </w:rPr>
        <w:t xml:space="preserve"> </w:t>
      </w:r>
      <w:r>
        <w:rPr>
          <w:rFonts w:ascii="Times New Roman;serif" w:hAnsi="Times New Roman;serif"/>
          <w:b w:val="false"/>
          <w:color w:val="000000"/>
          <w:sz w:val="22"/>
        </w:rPr>
        <w:t>to an amount not to exceed 100% of the Alternative Currency Sublimit then in effect.</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85445"/>
                <wp:effectExtent l="0" t="0" r="0" b="0"/>
                <wp:wrapNone/>
                <wp:docPr id="101" name="Frame10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Within the parameters of the applications set forth above, prepayments pursuant to this </w:t>
      </w:r>
      <w:r>
        <w:rPr>
          <w:rFonts w:ascii="Times New Roman;serif" w:hAnsi="Times New Roman;serif"/>
          <w:b w:val="false"/>
          <w:color w:val="000000"/>
          <w:sz w:val="22"/>
          <w:u w:val="single"/>
        </w:rPr>
        <w:t>Section 2.05(b</w:t>
      </w:r>
      <w:r>
        <w:rPr>
          <w:rFonts w:ascii="Times New Roman;serif" w:hAnsi="Times New Roman;serif"/>
          <w:b w:val="false"/>
          <w:color w:val="000000"/>
          <w:sz w:val="22"/>
        </w:rPr>
        <w:t xml:space="preserve">) shall be applied first to Base Rate Loans, Daily SOFR Loans and Alternative Currency Daily Rate Loans on a pro rata basis and then to Term SOFR Loans and Alternative Currency Term Rate Loans in direct order of Interest Period maturities. All prepayments under this </w:t>
      </w:r>
      <w:r>
        <w:rPr>
          <w:rFonts w:ascii="Times New Roman;serif" w:hAnsi="Times New Roman;serif"/>
          <w:b w:val="false"/>
          <w:color w:val="000000"/>
          <w:sz w:val="22"/>
          <w:u w:val="single"/>
        </w:rPr>
        <w:t>Section 2.05(b</w:t>
      </w:r>
      <w:r>
        <w:rPr>
          <w:rFonts w:ascii="Times New Roman;serif" w:hAnsi="Times New Roman;serif"/>
          <w:b w:val="false"/>
          <w:color w:val="000000"/>
          <w:sz w:val="22"/>
        </w:rPr>
        <w:t xml:space="preserve">) shall be subject to </w:t>
      </w:r>
      <w:r>
        <w:rPr>
          <w:rFonts w:ascii="Times New Roman;serif" w:hAnsi="Times New Roman;serif"/>
          <w:b w:val="false"/>
          <w:color w:val="000000"/>
          <w:sz w:val="22"/>
          <w:u w:val="single"/>
        </w:rPr>
        <w:t>Section 3.05</w:t>
      </w:r>
      <w:r>
        <w:rPr>
          <w:rFonts w:ascii="Times New Roman;serif" w:hAnsi="Times New Roman;serif"/>
          <w:b w:val="false"/>
          <w:color w:val="000000"/>
          <w:sz w:val="22"/>
        </w:rPr>
        <w:t>, but otherwise without premium or penalty, and shall be accompanied by interest on the principal amount prepaid through the date of prepayment.</w:t>
      </w:r>
    </w:p>
    <w:p>
      <w:pPr>
        <w:pStyle w:val="TextBody"/>
        <w:bidi w:val="0"/>
        <w:spacing w:lineRule="auto" w:line="240" w:before="0" w:after="240"/>
        <w:ind w:left="0" w:right="0" w:firstLine="720"/>
        <w:jc w:val="both"/>
        <w:rPr/>
      </w:pPr>
      <w:r>
        <w:rPr>
          <w:rFonts w:ascii="Times New Roman;serif" w:hAnsi="Times New Roman;serif"/>
          <w:b/>
          <w:color w:val="000000"/>
          <w:sz w:val="22"/>
        </w:rPr>
        <w:t>2.06</w:t>
      </w:r>
      <w:r>
        <w:rPr>
          <w:rFonts w:ascii="Times New Roman;serif" w:hAnsi="Times New Roman;serif"/>
          <w:b/>
          <w:color w:val="000000"/>
          <w:sz w:val="22"/>
          <w:u w:val="single"/>
        </w:rPr>
        <w:t>Termination or Reduction of Commitments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Optional</w:t>
      </w:r>
      <w:r>
        <w:rPr>
          <w:rFonts w:ascii="Times New Roman;serif" w:hAnsi="Times New Roman;serif"/>
          <w:b w:val="false"/>
          <w:color w:val="000000"/>
          <w:sz w:val="22"/>
        </w:rPr>
        <w:t xml:space="preserve">. The Borrowers may, upon notice to the Administrative Agent, terminate the Revolving Facility, the Letter of Credit Sublimit or the Swingline Sublimit, or from time to time permanently reduce the Revolving Facility, the Letter of Credit Sublimit or the Swingline Sublimit;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 any such notice shall be received by the Administrative Agent not later than 11:00 a.m. five (5) Business Days prior to the date of termination or reduction, (ii) any such partial reduction shall be in an aggregate amount of $10,000,000 or any whole multiple of $1,000,000 in excess thereof and (iii) the Borrowers shall not terminate or reduce (A) the Revolving Facility if, after giving effect thereto and to any concurrent prepayments hereunder, the Total Revolving Outstandings would exceed the Revolving Facility, (B) the Letter of Credit Sublimit if, after giving effect thereto, the Outstanding Amount of L/C Obligations not fully Cash Collateralized hereunder would exceed the Letter of Credit Sublimit, or (C) the Swingline Sublimit if, after giving effect thereto and to any concurrent prepayments hereunder, the Outstanding Amount of Swingline Loans would exceed the Swingline Sublimit. A notice of termination delivered by Borrowers may state that such notice is conditioned on the occurrence of a refinancing of all or any portion of the Loans or the occurrence of any other event which would have provided the cash proceeds for the repayment in full and termination of the Facility, in which case such notice may be revoked by the Company (by written notice to Administrative Agent on or prior to the specified effective date of such refinancing or other such event) if such condition is not satisfied.</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Mandatory</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(i)The aggregate Term Commitments shall be automatically and permanently reduced to zero on the Closing Date.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(ii)If after giving effect to any reduction or termination of Revolving Commitments under this Section 2.06, the Letter of Credit Sublimit, the Alternative Currency Sublimit, the Designated Borrower Sublimit or the Swingline Sublimit exceeds the Revolving Facility (including, for the avoidance of doubt, the Seasonal Decrease Amount applicable during a Seasonal Decrease Period) at such time, the Letter of Credit Sublimit, the Alternative Currency Sublimit, the Designated Borrower Sublimit or the Swingline Sublimit, as the case may be, shall be automatically reduced by the amount of such excess.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Application of Commitment Reductions; Payment of Fees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Administrative Agent will promptly notify the Lenders of any termination or reduction of the Letter of Credit Sublimit, Swingline Sublimit, the Alternative Currency Sublimit, the Designated Borrower Sublimit or the Revolving Commitment under this </w:t>
      </w:r>
      <w:r>
        <w:rPr>
          <w:rFonts w:ascii="Times New Roman;serif" w:hAnsi="Times New Roman;serif"/>
          <w:b w:val="false"/>
          <w:color w:val="000000"/>
          <w:sz w:val="22"/>
          <w:u w:val="single"/>
        </w:rPr>
        <w:t>Section 2.06</w:t>
      </w:r>
      <w:r>
        <w:rPr>
          <w:rFonts w:ascii="Times New Roman;serif" w:hAnsi="Times New Roman;serif"/>
          <w:b w:val="false"/>
          <w:color w:val="000000"/>
          <w:sz w:val="22"/>
        </w:rPr>
        <w:t>. The amount of any such reduction of the Revolving Commitments shall not be applied to the Alternative Currency Sublimit unless otherwise specified by the Company. Upon any reduction of the Revolving Commitments, the Revolving Commitment of each Revolving Lender shall be reduced by such Lender’s Applicable Revolving Percentage of such reduction amount. All fees in respect of the Revolving Facility accrued until the effective date of any termination of the Revolving Facility shall be paid on the effective date of such termination.</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85445"/>
                <wp:effectExtent l="0" t="0" r="0" b="0"/>
                <wp:wrapNone/>
                <wp:docPr id="102" name="Frame10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2.07</w:t>
      </w:r>
      <w:r>
        <w:rPr>
          <w:rFonts w:ascii="Times New Roman;serif" w:hAnsi="Times New Roman;serif"/>
          <w:b/>
          <w:color w:val="000000"/>
          <w:sz w:val="22"/>
          <w:u w:val="single"/>
        </w:rPr>
        <w:t>Repayment of Loans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Term Loans.</w:t>
      </w:r>
      <w:r>
        <w:rPr>
          <w:color w:val="000000"/>
        </w:rPr>
        <w:t xml:space="preserve"> </w:t>
      </w:r>
      <w:r>
        <w:rPr>
          <w:rFonts w:ascii="Times New Roman;serif" w:hAnsi="Times New Roman;serif"/>
          <w:b w:val="false"/>
          <w:color w:val="000000"/>
          <w:sz w:val="22"/>
        </w:rPr>
        <w:t xml:space="preserve">The Company shall repay to the Term Lenders the aggregate principal amount of all Term Loans outstanding on the following dates in the respective amounts set forth opposite such dates (which amounts shall be reduced as a result of the application of prepayments in accordance with the order of priority set forth in </w:t>
      </w:r>
      <w:r>
        <w:rPr>
          <w:rFonts w:ascii="Times New Roman;serif" w:hAnsi="Times New Roman;serif"/>
          <w:b w:val="false"/>
          <w:color w:val="000000"/>
          <w:sz w:val="22"/>
          <w:u w:val="single"/>
        </w:rPr>
        <w:t>Section 2.05</w:t>
      </w:r>
      <w:r>
        <w:rPr>
          <w:rFonts w:ascii="Times New Roman;serif" w:hAnsi="Times New Roman;serif"/>
          <w:b w:val="false"/>
          <w:color w:val="000000"/>
          <w:sz w:val="22"/>
        </w:rPr>
        <w:t xml:space="preserve">), unless accelerated sooner pursuant to Section 8.02: </w:t>
      </w:r>
    </w:p>
    <w:tbl>
      <w:tblPr>
        <w:tblW w:w="5459" w:type="dxa"/>
        <w:jc w:val="left"/>
        <w:tblInd w:w="0" w:type="dxa"/>
        <w:tblLayout w:type="fixed"/>
        <w:tblCellMar>
          <w:top w:w="28" w:type="dxa"/>
          <w:left w:w="28" w:type="dxa"/>
          <w:bottom w:w="28" w:type="dxa"/>
          <w:right w:w="28" w:type="dxa"/>
        </w:tblCellMar>
      </w:tblPr>
      <w:tblGrid>
        <w:gridCol w:w="727"/>
        <w:gridCol w:w="640"/>
        <w:gridCol w:w="643"/>
        <w:gridCol w:w="1009"/>
        <w:gridCol w:w="1009"/>
        <w:gridCol w:w="1431"/>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4" w:space="0" w:color="000000"/>
              <w:left w:val="single" w:sz="4" w:space="0" w:color="000000"/>
            </w:tcBorders>
            <w:shd w:fill="F2F2F2"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Payment Dates</w:t>
            </w:r>
          </w:p>
        </w:tc>
        <w:tc>
          <w:tcPr>
            <w:tcW w:w="3449" w:type="dxa"/>
            <w:gridSpan w:val="3"/>
            <w:tcBorders>
              <w:top w:val="single" w:sz="4" w:space="0" w:color="000000"/>
              <w:left w:val="single" w:sz="4" w:space="0" w:color="000000"/>
              <w:right w:val="single" w:sz="4" w:space="0" w:color="000000"/>
            </w:tcBorders>
            <w:shd w:fill="F2F2F2"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Principal Repayment Installments</w:t>
            </w:r>
          </w:p>
        </w:tc>
      </w:tr>
      <w:tr>
        <w:trPr/>
        <w:tc>
          <w:tcPr>
            <w:tcW w:w="20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2026</w:t>
            </w:r>
          </w:p>
        </w:tc>
        <w:tc>
          <w:tcPr>
            <w:tcW w:w="34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$468,750</w:t>
            </w:r>
          </w:p>
        </w:tc>
      </w:tr>
      <w:tr>
        <w:trPr/>
        <w:tc>
          <w:tcPr>
            <w:tcW w:w="20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March 31, 2027</w:t>
            </w:r>
          </w:p>
        </w:tc>
        <w:tc>
          <w:tcPr>
            <w:tcW w:w="34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$468,750</w:t>
            </w:r>
          </w:p>
        </w:tc>
      </w:tr>
      <w:tr>
        <w:trPr/>
        <w:tc>
          <w:tcPr>
            <w:tcW w:w="20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2027</w:t>
            </w:r>
          </w:p>
        </w:tc>
        <w:tc>
          <w:tcPr>
            <w:tcW w:w="34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$468,750</w:t>
            </w:r>
          </w:p>
        </w:tc>
      </w:tr>
      <w:tr>
        <w:trPr/>
        <w:tc>
          <w:tcPr>
            <w:tcW w:w="20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30, 2027</w:t>
            </w:r>
          </w:p>
        </w:tc>
        <w:tc>
          <w:tcPr>
            <w:tcW w:w="34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$468,750</w:t>
            </w:r>
          </w:p>
        </w:tc>
      </w:tr>
      <w:tr>
        <w:trPr/>
        <w:tc>
          <w:tcPr>
            <w:tcW w:w="20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2027</w:t>
            </w:r>
          </w:p>
        </w:tc>
        <w:tc>
          <w:tcPr>
            <w:tcW w:w="34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$468,750</w:t>
            </w:r>
          </w:p>
        </w:tc>
      </w:tr>
      <w:tr>
        <w:trPr/>
        <w:tc>
          <w:tcPr>
            <w:tcW w:w="20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March 31, 2028</w:t>
            </w:r>
          </w:p>
        </w:tc>
        <w:tc>
          <w:tcPr>
            <w:tcW w:w="34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$468,750</w:t>
            </w:r>
          </w:p>
        </w:tc>
      </w:tr>
      <w:tr>
        <w:trPr/>
        <w:tc>
          <w:tcPr>
            <w:tcW w:w="20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2028</w:t>
            </w:r>
          </w:p>
        </w:tc>
        <w:tc>
          <w:tcPr>
            <w:tcW w:w="34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$468,750</w:t>
            </w:r>
          </w:p>
        </w:tc>
      </w:tr>
      <w:tr>
        <w:trPr/>
        <w:tc>
          <w:tcPr>
            <w:tcW w:w="20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30, 2028</w:t>
            </w:r>
          </w:p>
        </w:tc>
        <w:tc>
          <w:tcPr>
            <w:tcW w:w="34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$468,750</w:t>
            </w:r>
          </w:p>
        </w:tc>
      </w:tr>
      <w:tr>
        <w:trPr/>
        <w:tc>
          <w:tcPr>
            <w:tcW w:w="20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2028</w:t>
            </w:r>
          </w:p>
        </w:tc>
        <w:tc>
          <w:tcPr>
            <w:tcW w:w="34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$468,750</w:t>
            </w:r>
          </w:p>
        </w:tc>
      </w:tr>
      <w:tr>
        <w:trPr/>
        <w:tc>
          <w:tcPr>
            <w:tcW w:w="20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March 31, 2029</w:t>
            </w:r>
          </w:p>
        </w:tc>
        <w:tc>
          <w:tcPr>
            <w:tcW w:w="34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$468,750</w:t>
            </w:r>
          </w:p>
        </w:tc>
      </w:tr>
      <w:tr>
        <w:trPr/>
        <w:tc>
          <w:tcPr>
            <w:tcW w:w="20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2029</w:t>
            </w:r>
          </w:p>
        </w:tc>
        <w:tc>
          <w:tcPr>
            <w:tcW w:w="34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$468,750</w:t>
            </w:r>
          </w:p>
        </w:tc>
      </w:tr>
      <w:tr>
        <w:trPr/>
        <w:tc>
          <w:tcPr>
            <w:tcW w:w="20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30, 2029</w:t>
            </w:r>
          </w:p>
        </w:tc>
        <w:tc>
          <w:tcPr>
            <w:tcW w:w="34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$468,750</w:t>
            </w:r>
          </w:p>
        </w:tc>
      </w:tr>
      <w:tr>
        <w:trPr/>
        <w:tc>
          <w:tcPr>
            <w:tcW w:w="20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2029</w:t>
            </w:r>
          </w:p>
        </w:tc>
        <w:tc>
          <w:tcPr>
            <w:tcW w:w="34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$468,750</w:t>
            </w:r>
          </w:p>
        </w:tc>
      </w:tr>
      <w:tr>
        <w:trPr/>
        <w:tc>
          <w:tcPr>
            <w:tcW w:w="20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March 31, 2030</w:t>
            </w:r>
          </w:p>
        </w:tc>
        <w:tc>
          <w:tcPr>
            <w:tcW w:w="34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$468,750</w:t>
            </w:r>
          </w:p>
        </w:tc>
      </w:tr>
      <w:tr>
        <w:trPr/>
        <w:tc>
          <w:tcPr>
            <w:tcW w:w="20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2030</w:t>
            </w:r>
          </w:p>
        </w:tc>
        <w:tc>
          <w:tcPr>
            <w:tcW w:w="34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$468,750</w:t>
            </w:r>
          </w:p>
        </w:tc>
      </w:tr>
      <w:tr>
        <w:trPr/>
        <w:tc>
          <w:tcPr>
            <w:tcW w:w="20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30, 2030</w:t>
            </w:r>
          </w:p>
        </w:tc>
        <w:tc>
          <w:tcPr>
            <w:tcW w:w="34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$468,750</w:t>
            </w:r>
          </w:p>
        </w:tc>
      </w:tr>
      <w:tr>
        <w:trPr/>
        <w:tc>
          <w:tcPr>
            <w:tcW w:w="20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2030</w:t>
            </w:r>
          </w:p>
        </w:tc>
        <w:tc>
          <w:tcPr>
            <w:tcW w:w="34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$468,750</w:t>
            </w:r>
          </w:p>
        </w:tc>
      </w:tr>
      <w:tr>
        <w:trPr/>
        <w:tc>
          <w:tcPr>
            <w:tcW w:w="20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March 31, 2031</w:t>
            </w:r>
          </w:p>
        </w:tc>
        <w:tc>
          <w:tcPr>
            <w:tcW w:w="34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$468,750</w:t>
            </w:r>
          </w:p>
        </w:tc>
      </w:tr>
      <w:tr>
        <w:trPr/>
        <w:tc>
          <w:tcPr>
            <w:tcW w:w="2010"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2031</w:t>
            </w:r>
          </w:p>
        </w:tc>
        <w:tc>
          <w:tcPr>
            <w:tcW w:w="34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$468,750</w:t>
            </w:r>
          </w:p>
        </w:tc>
      </w:tr>
    </w:tbl>
    <w:p>
      <w:pPr>
        <w:pStyle w:val="TextBody"/>
        <w:bidi w:val="0"/>
        <w:spacing w:lineRule="auto" w:line="288" w:before="0" w:after="240"/>
        <w:jc w:val="both"/>
        <w:rPr/>
      </w:pPr>
      <w:r>
        <w:rPr>
          <w:rFonts w:ascii="Times New Roman;serif" w:hAnsi="Times New Roman;serif"/>
          <w:b w:val="false"/>
          <w:color w:val="000000"/>
          <w:sz w:val="22"/>
        </w:rPr>
        <w:t>(b)</w:t>
      </w:r>
      <w:r>
        <w:rPr>
          <w:rFonts w:ascii="Times New Roman;serif" w:hAnsi="Times New Roman;serif"/>
          <w:b w:val="false"/>
          <w:i/>
          <w:color w:val="000000"/>
          <w:sz w:val="22"/>
        </w:rPr>
        <w:t>provided, however</w:t>
      </w:r>
      <w:r>
        <w:rPr>
          <w:rFonts w:ascii="Times New Roman;serif" w:hAnsi="Times New Roman;serif"/>
          <w:b w:val="false"/>
          <w:color w:val="000000"/>
          <w:sz w:val="22"/>
        </w:rPr>
        <w:t>, that (i) the final principal repayment installment of the Term Loans shall be repaid on the Maturity Date for the Term Facility and in any event shall be in an amount equal to the aggregate principal amount of all Term Loans outstanding on such date, and (ii) if any principal repayment installment to be made by the Borrowers shall come due on a day other than a Business Day, such principal repayment installment shall be due on the next succeeding Business Day, and such extension of time shall be reflected in computing interest or fees, as the case may be.</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Revolving Loans</w:t>
      </w:r>
      <w:r>
        <w:rPr>
          <w:rFonts w:ascii="Times New Roman;serif" w:hAnsi="Times New Roman;serif"/>
          <w:b w:val="false"/>
          <w:color w:val="000000"/>
          <w:sz w:val="22"/>
        </w:rPr>
        <w:t>. Each Borrower shall repay to the Revolving Lenders on the Maturity Date for the Revolving Facility the aggregate principal amount of all Revolving Loans outstanding on such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Swingline Loans</w:t>
      </w:r>
      <w:r>
        <w:rPr>
          <w:rFonts w:ascii="Times New Roman;serif" w:hAnsi="Times New Roman;serif"/>
          <w:b w:val="false"/>
          <w:color w:val="000000"/>
          <w:sz w:val="22"/>
        </w:rPr>
        <w:t>. The Company shall repay each Swingline Loan on the earlier to occur of (i) the date ten (10) Business Days after such Loan is made and (ii) the Maturity Date for the Revolving Facility.</w:t>
      </w:r>
    </w:p>
    <w:p>
      <w:pPr>
        <w:pStyle w:val="TextBody"/>
        <w:bidi w:val="0"/>
        <w:spacing w:lineRule="auto" w:line="240" w:before="0" w:after="240"/>
        <w:ind w:left="0" w:right="0" w:firstLine="720"/>
        <w:jc w:val="both"/>
        <w:rPr/>
      </w:pPr>
      <w:r>
        <w:rPr>
          <w:rFonts w:ascii="Times New Roman;serif" w:hAnsi="Times New Roman;serif"/>
          <w:b/>
          <w:color w:val="000000"/>
          <w:sz w:val="22"/>
        </w:rPr>
        <w:t>2.08</w:t>
      </w:r>
      <w:r>
        <w:rPr>
          <w:rFonts w:ascii="Times New Roman;serif" w:hAnsi="Times New Roman;serif"/>
          <w:b/>
          <w:color w:val="000000"/>
          <w:sz w:val="22"/>
          <w:u w:val="single"/>
        </w:rPr>
        <w:t>Interest and Default Rate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Interest</w:t>
      </w:r>
      <w:r>
        <w:rPr>
          <w:rFonts w:ascii="Times New Roman;serif" w:hAnsi="Times New Roman;serif"/>
          <w:b w:val="false"/>
          <w:color w:val="000000"/>
          <w:sz w:val="22"/>
        </w:rPr>
        <w:t xml:space="preserve">. Subject to the provisions of </w:t>
      </w:r>
      <w:r>
        <w:rPr>
          <w:rFonts w:ascii="Times New Roman;serif" w:hAnsi="Times New Roman;serif"/>
          <w:b w:val="false"/>
          <w:color w:val="000000"/>
          <w:sz w:val="22"/>
          <w:u w:val="single"/>
        </w:rPr>
        <w:t>Section 2.08(b</w:t>
      </w:r>
      <w:r>
        <w:rPr>
          <w:rFonts w:ascii="Times New Roman;serif" w:hAnsi="Times New Roman;serif"/>
          <w:b w:val="false"/>
          <w:color w:val="000000"/>
          <w:sz w:val="22"/>
        </w:rPr>
        <w:t xml:space="preserve">), (i) each Term SOFR Loan or Daily SOFR Loan shall bear interest on the outstanding principal amount thereof for each Interest Period from the applicable borrowing date at a rate per annum equal to the Term SOFR for such Interest Period or Daily SOFR, as applicable, plus the Applicable Rate; (ii) each Base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85445"/>
                <wp:effectExtent l="0" t="0" r="0" b="0"/>
                <wp:wrapNone/>
                <wp:docPr id="103" name="Frame1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Rate Loan shall bear interest on the outstanding principal amount thereof from the applicable borrowing date at a rate per annum equal to the Base Rate plus the Applicable Rate; (iii) each Alternative Currency Daily Rate Loan shall bear interest on the outstanding principal amount thereof from the applicable borrowing date at a rate per annum equal to the Alternative Currency Daily Rate plus the Applicable Rate; (iv) each Alternative Currency Term Rate Loan shall bear interest on the outstanding principal amount thereof for each Interest Period at a rate per annum equal to the Alternative Currency Term Rate for such Interest Period plus the Applicable Rate; and (v) each Swingline Loan shall bear interest on the outstanding principal amount thereof from the applicable Borrowing date at a rate per annum equal to the Base Rate plus the Applicable Rate. To the extent that any calculation of interest or any fee required to be paid under this Agreement shall be based on (or result in) a calculation that is less than zero, such calculation shall be deemed zero for purposes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Default Rate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(ii)If any amount (other than principal of any Loan) payable by any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(iii)Upon the request of the Required Lenders, while any Event of Default exists (including a payment default), all outstanding Obligations (including Letter of Credit Fees) may accrue at a fluctuating interest rate per annum at all times equal to the Default Rate to the fullest extent permitted by Applicable Laws.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(iv)Accrued and unpaid interest on past due amounts (including interest on past due interest) shall be due and payable upon demand.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Interest Payments</w:t>
      </w:r>
      <w:r>
        <w:rPr>
          <w:rFonts w:ascii="Times New Roman;serif" w:hAnsi="Times New Roman;serif"/>
          <w:b w:val="false"/>
          <w:color w:val="000000"/>
          <w:sz w:val="22"/>
        </w:rPr>
        <w:t>.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Interest Act (Canada</w:t>
      </w:r>
      <w:r>
        <w:rPr>
          <w:rFonts w:ascii="Times New Roman;serif" w:hAnsi="Times New Roman;serif"/>
          <w:b w:val="false"/>
          <w:color w:val="000000"/>
          <w:sz w:val="22"/>
        </w:rPr>
        <w:t xml:space="preserve">). For the purposes of the Interest Act (Canada), (i) whenever a rate of interest or fee rate hereunder is calculated on the basis of a year (the “deemed year”) that contains fewer days than the actual number of days in the calendar year of calculation, such rate of interest or fee rate shall be expressed as a yearly rate by </w:t>
      </w:r>
      <w:r>
        <w:rPr>
          <w:rFonts w:ascii="Times New Roman;serif" w:hAnsi="Times New Roman;serif"/>
          <w:b w:val="false"/>
          <w:i/>
          <w:color w:val="000000"/>
          <w:sz w:val="22"/>
        </w:rPr>
        <w:t>multiplying</w:t>
      </w:r>
      <w:r>
        <w:rPr>
          <w:color w:val="000000"/>
        </w:rPr>
        <w:t xml:space="preserve"> </w:t>
      </w:r>
      <w:r>
        <w:rPr>
          <w:rFonts w:ascii="Times New Roman;serif" w:hAnsi="Times New Roman;serif"/>
          <w:b w:val="false"/>
          <w:color w:val="000000"/>
          <w:sz w:val="22"/>
        </w:rPr>
        <w:t xml:space="preserve">such rate of interest or fee rate by the actual number of days in the calendar year of calculation and </w:t>
      </w:r>
      <w:r>
        <w:rPr>
          <w:rFonts w:ascii="Times New Roman;serif" w:hAnsi="Times New Roman;serif"/>
          <w:b w:val="false"/>
          <w:i/>
          <w:color w:val="000000"/>
          <w:sz w:val="22"/>
        </w:rPr>
        <w:t>dividing</w:t>
      </w:r>
      <w:r>
        <w:rPr>
          <w:color w:val="000000"/>
        </w:rPr>
        <w:t xml:space="preserve"> </w:t>
      </w:r>
      <w:r>
        <w:rPr>
          <w:rFonts w:ascii="Times New Roman;serif" w:hAnsi="Times New Roman;serif"/>
          <w:b w:val="false"/>
          <w:color w:val="000000"/>
          <w:sz w:val="22"/>
        </w:rPr>
        <w:t xml:space="preserve">it by the number of days in the deemed year, (ii) the principle of deemed reinvestment of interest shall not apply to any interest calculation hereunder and (iii) the rates of interest stipulated herein are intended to be nominal rates and not effective rates or yields. </w:t>
      </w:r>
    </w:p>
    <w:p>
      <w:pPr>
        <w:pStyle w:val="TextBody"/>
        <w:bidi w:val="0"/>
        <w:spacing w:lineRule="auto" w:line="240" w:before="0" w:after="240"/>
        <w:ind w:left="0" w:right="0" w:firstLine="720"/>
        <w:jc w:val="both"/>
        <w:rPr/>
      </w:pPr>
      <w:r>
        <w:rPr>
          <w:rFonts w:ascii="Times New Roman;serif" w:hAnsi="Times New Roman;serif"/>
          <w:b/>
          <w:color w:val="000000"/>
          <w:sz w:val="22"/>
        </w:rPr>
        <w:t>2.09</w:t>
      </w:r>
      <w:r>
        <w:rPr>
          <w:rFonts w:ascii="Times New Roman;serif" w:hAnsi="Times New Roman;serif"/>
          <w:b/>
          <w:color w:val="000000"/>
          <w:sz w:val="22"/>
          <w:u w:val="single"/>
        </w:rPr>
        <w:t>Fees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In addition to certain fees described in </w:t>
      </w:r>
      <w:r>
        <w:rPr>
          <w:rFonts w:ascii="Times New Roman;serif" w:hAnsi="Times New Roman;serif"/>
          <w:b w:val="false"/>
          <w:color w:val="000000"/>
          <w:sz w:val="22"/>
          <w:u w:val="single"/>
        </w:rPr>
        <w:t>clauses (l</w:t>
      </w:r>
      <w:r>
        <w:rPr>
          <w:rFonts w:ascii="Times New Roman;serif" w:hAnsi="Times New Roman;serif"/>
          <w:b w:val="false"/>
          <w:color w:val="000000"/>
          <w:sz w:val="22"/>
        </w:rPr>
        <w:t>) and (</w:t>
      </w:r>
      <w:r>
        <w:rPr>
          <w:rFonts w:ascii="Times New Roman;serif" w:hAnsi="Times New Roman;serif"/>
          <w:b w:val="false"/>
          <w:color w:val="000000"/>
          <w:sz w:val="22"/>
          <w:u w:val="single"/>
        </w:rPr>
        <w:t>m</w:t>
      </w:r>
      <w:r>
        <w:rPr>
          <w:rFonts w:ascii="Times New Roman;serif" w:hAnsi="Times New Roman;serif"/>
          <w:b w:val="false"/>
          <w:color w:val="000000"/>
          <w:sz w:val="22"/>
        </w:rPr>
        <w:t xml:space="preserve">) of </w:t>
      </w:r>
      <w:r>
        <w:rPr>
          <w:rFonts w:ascii="Times New Roman;serif" w:hAnsi="Times New Roman;serif"/>
          <w:b w:val="false"/>
          <w:color w:val="000000"/>
          <w:sz w:val="22"/>
          <w:u w:val="single"/>
        </w:rPr>
        <w:t>Section 2.03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Commitment Fee</w:t>
      </w:r>
      <w:r>
        <w:rPr>
          <w:rFonts w:ascii="Times New Roman;serif" w:hAnsi="Times New Roman;serif"/>
          <w:b w:val="false"/>
          <w:color w:val="000000"/>
          <w:sz w:val="22"/>
        </w:rPr>
        <w:t xml:space="preserve">. The Borrowers shall pay to the Administrative Agent for the account of each Revolving Lender in accordance with its Applicable Revolving Percentage, a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85445"/>
                <wp:effectExtent l="0" t="0" r="0" b="0"/>
                <wp:wrapNone/>
                <wp:docPr id="104" name="Frame1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commitment fee in Dollars equal to the Applicable Rate </w:t>
      </w:r>
      <w:r>
        <w:rPr>
          <w:rFonts w:ascii="Times New Roman;serif" w:hAnsi="Times New Roman;serif"/>
          <w:b w:val="false"/>
          <w:i/>
          <w:color w:val="000000"/>
          <w:sz w:val="22"/>
        </w:rPr>
        <w:t>times</w:t>
      </w:r>
      <w:r>
        <w:rPr>
          <w:color w:val="000000"/>
        </w:rPr>
        <w:t xml:space="preserve"> </w:t>
      </w:r>
      <w:r>
        <w:rPr>
          <w:rFonts w:ascii="Times New Roman;serif" w:hAnsi="Times New Roman;serif"/>
          <w:b w:val="false"/>
          <w:color w:val="000000"/>
          <w:sz w:val="22"/>
        </w:rPr>
        <w:t xml:space="preserve">the actual daily amount by which the Revolving Facility exceeds the </w:t>
      </w:r>
      <w:r>
        <w:rPr>
          <w:rFonts w:ascii="Times New Roman;serif" w:hAnsi="Times New Roman;serif"/>
          <w:b w:val="false"/>
          <w:i/>
          <w:color w:val="000000"/>
          <w:sz w:val="22"/>
        </w:rPr>
        <w:t>sum of</w:t>
      </w:r>
      <w:r>
        <w:rPr>
          <w:color w:val="000000"/>
        </w:rPr>
        <w:t xml:space="preserve"> </w:t>
      </w:r>
      <w:r>
        <w:rPr>
          <w:rFonts w:ascii="Times New Roman;serif" w:hAnsi="Times New Roman;serif"/>
          <w:b w:val="false"/>
          <w:color w:val="000000"/>
          <w:sz w:val="22"/>
        </w:rPr>
        <w:t xml:space="preserve">(i) the Outstanding Amount of Revolving Loans and (ii) the Outstanding Amount of L/C Obligations, subject to adjustment as provided in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For the avoidance of doubt, the Outstanding Amount of Swingline Loans shall not be counted towards or considered usage of the Revolving Facility for purposes of determining the commitment fee. The commitment fee shall accrue at all times during the Availability Period, including at any time during which one or more of the conditions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is not met, and shall be due and payable quarterly in arrears on the last Business Day of each March, June, September and December, commencing with the first such date to occur after the Closing Date, and on the last day of the Availability Period for the Revolving Facility. The commitment fee shall be calculated quarterly in arrears, and if there is any change in the Applicable Rate during any quarter, the actual daily amount shall be computed and </w:t>
      </w:r>
      <w:r>
        <w:rPr>
          <w:rFonts w:ascii="Times New Roman;serif" w:hAnsi="Times New Roman;serif"/>
          <w:b w:val="false"/>
          <w:i/>
          <w:color w:val="000000"/>
          <w:sz w:val="22"/>
        </w:rPr>
        <w:t>multiplied by</w:t>
      </w:r>
      <w:r>
        <w:rPr>
          <w:color w:val="000000"/>
        </w:rPr>
        <w:t xml:space="preserve"> </w:t>
      </w:r>
      <w:r>
        <w:rPr>
          <w:rFonts w:ascii="Times New Roman;serif" w:hAnsi="Times New Roman;serif"/>
          <w:b w:val="false"/>
          <w:color w:val="000000"/>
          <w:sz w:val="22"/>
        </w:rPr>
        <w:t>the Applicable Rate separately for each period during such quarter that such Applicable Rate was in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Other Fees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(i)The Borrowers shall pay to the Administrative Agent and the Arranger for its own account, in Dollars, fees in the amounts and at the times specified in the Fee Letter. Such fees shall be fully earned when paid and shall not be refundable for any reason whatsoever.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Borrowers shall pay to the Lenders, in Dollars, such fees as shall have been separately agreed upon in writing in the amounts and at the times so specified. Such fees shall be fully earned when paid and shall not be refundable for any reason whatsoever.</w:t>
      </w:r>
    </w:p>
    <w:p>
      <w:pPr>
        <w:pStyle w:val="TextBody"/>
        <w:bidi w:val="0"/>
        <w:spacing w:lineRule="auto" w:line="240" w:before="0" w:after="240"/>
        <w:ind w:left="0" w:right="0" w:firstLine="720"/>
        <w:jc w:val="both"/>
        <w:rPr/>
      </w:pPr>
      <w:r>
        <w:rPr>
          <w:rFonts w:ascii="Times New Roman;serif" w:hAnsi="Times New Roman;serif"/>
          <w:b/>
          <w:color w:val="000000"/>
          <w:sz w:val="22"/>
        </w:rPr>
        <w:t>2.10</w:t>
      </w:r>
      <w:r>
        <w:rPr>
          <w:rFonts w:ascii="Times New Roman;serif" w:hAnsi="Times New Roman;serif"/>
          <w:b/>
          <w:color w:val="000000"/>
          <w:sz w:val="22"/>
          <w:u w:val="single"/>
        </w:rPr>
        <w:t>Computation of Interest and Fees; Retroactive Adjustments of Applicable Rate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Computation of Interest and Fees</w:t>
      </w:r>
      <w:r>
        <w:rPr>
          <w:rFonts w:ascii="Times New Roman;serif" w:hAnsi="Times New Roman;serif"/>
          <w:b w:val="false"/>
          <w:color w:val="000000"/>
          <w:sz w:val="22"/>
        </w:rPr>
        <w:t xml:space="preserve">. All computations of interest for Base Rate Loans (including Base Rate Loans determined by reference to Term SOFR) and for loans denominated in Alternative Currencies (other than Alternative Currency Loans with respect to SARON and EURIBOR) shall be made on the basis of a year of 365 or 366 days, as the case may be, and actual days elapsed, or, in the case of interest in respect of Loans denominated in Alternative Currencies as to which market practice differs from the foregoing, in accordance with such market practice. All other computations of fees and interest, including those with respect to Daily SOFR, Term SOFR Loans and Alternative Currency Loans determined by reference to SARON and EURIBOR, shall be made on the basis of a three hundred sixty (360) day year and actual days elapsed (which results in more fees or interest, as applicable, being paid than if computed on the basis of a 365 day year), or, in the case of interest in respect of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provided that any Loan that is repaid on the same day on which it is made shall, subject to </w:t>
      </w:r>
      <w:r>
        <w:rPr>
          <w:rFonts w:ascii="Times New Roman;serif" w:hAnsi="Times New Roman;serif"/>
          <w:b w:val="false"/>
          <w:color w:val="000000"/>
          <w:sz w:val="22"/>
          <w:u w:val="single"/>
        </w:rPr>
        <w:t>Section 2.12(a</w:t>
      </w:r>
      <w:r>
        <w:rPr>
          <w:rFonts w:ascii="Times New Roman;serif" w:hAnsi="Times New Roman;serif"/>
          <w:b w:val="false"/>
          <w:color w:val="000000"/>
          <w:sz w:val="22"/>
        </w:rPr>
        <w:t>), bear interest for one (1) day. Each determination by the Administrative Agent of an interest rate or fee hereunder shall be conclusive and binding for all purposes, absent manifest error.</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Financial Statement Adjustments or Restatements</w:t>
      </w:r>
      <w:r>
        <w:rPr>
          <w:rFonts w:ascii="Times New Roman;serif" w:hAnsi="Times New Roman;serif"/>
          <w:b w:val="false"/>
          <w:color w:val="000000"/>
          <w:sz w:val="22"/>
        </w:rPr>
        <w:t>. If, as a result of any restatement of or other adjustment to the financial statements of the Company and its Subsidiaries or for any other reason, the Borrowers, or the Lenders determine that (i) the Consolidated Net Leverage Ratio as calculated by the Company as of any applicable date was inaccurate and (ii) a proper calculation of the Consolidated Net Leverage Ratio would have resulted in higher pricing for such period, the applicable Borrowers shall immediately and retroactively be obligated to pay to the Administrative Agent for the account of the applicable Lenders or the applicable L/C Issuer, as the case may be, promptly on demand by the Administrative Agent (or, after the occurrence of an actual or deemed entry of an order for relief with respect to any of the Borrowers under the Bankruptcy Code of the United States or under other relevant Debtor Relief Law, automatically and without further action by the Administrative Agent, any Lender or any L/</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85445"/>
                <wp:effectExtent l="0" t="0" r="0" b="0"/>
                <wp:wrapNone/>
                <wp:docPr id="105" name="Frame10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C Issuer), an amount equal to the excess of the amount of interest and fees that should have been paid for such period over the amount of interest and fees actually paid for such period. This </w:t>
      </w:r>
      <w:r>
        <w:rPr>
          <w:rFonts w:ascii="Times New Roman;serif" w:hAnsi="Times New Roman;serif"/>
          <w:b w:val="false"/>
          <w:color w:val="000000"/>
          <w:sz w:val="22"/>
          <w:u w:val="single"/>
        </w:rPr>
        <w:t>clause (b</w:t>
      </w:r>
      <w:r>
        <w:rPr>
          <w:rFonts w:ascii="Times New Roman;serif" w:hAnsi="Times New Roman;serif"/>
          <w:b w:val="false"/>
          <w:color w:val="000000"/>
          <w:sz w:val="22"/>
        </w:rPr>
        <w:t xml:space="preserve">) shall not limit the rights of the Administrative Agent, any Lender or any L/C Issuer, as the case may be, under any provision of this Agreement to payment of any Obligations hereunder at the Default Rate or under </w:t>
      </w:r>
      <w:r>
        <w:rPr>
          <w:rFonts w:ascii="Times New Roman;serif" w:hAnsi="Times New Roman;serif"/>
          <w:b w:val="false"/>
          <w:color w:val="000000"/>
          <w:sz w:val="22"/>
          <w:u w:val="single"/>
        </w:rPr>
        <w:t>Article VIII</w:t>
      </w:r>
      <w:r>
        <w:rPr>
          <w:rFonts w:ascii="Times New Roman;serif" w:hAnsi="Times New Roman;serif"/>
          <w:b w:val="false"/>
          <w:color w:val="000000"/>
          <w:sz w:val="22"/>
        </w:rPr>
        <w:t xml:space="preserve">. Each Borrower’s obligations under this </w:t>
      </w:r>
      <w:r>
        <w:rPr>
          <w:rFonts w:ascii="Times New Roman;serif" w:hAnsi="Times New Roman;serif"/>
          <w:b w:val="false"/>
          <w:color w:val="000000"/>
          <w:sz w:val="22"/>
          <w:u w:val="single"/>
        </w:rPr>
        <w:t>clause (b</w:t>
      </w:r>
      <w:r>
        <w:rPr>
          <w:rFonts w:ascii="Times New Roman;serif" w:hAnsi="Times New Roman;serif"/>
          <w:b w:val="false"/>
          <w:color w:val="000000"/>
          <w:sz w:val="22"/>
        </w:rPr>
        <w:t>) shall survive the termination of the Aggregate Commitments and the repayment of all other Obligations hereunder.</w:t>
      </w:r>
    </w:p>
    <w:p>
      <w:pPr>
        <w:pStyle w:val="TextBody"/>
        <w:bidi w:val="0"/>
        <w:spacing w:lineRule="auto" w:line="240" w:before="0" w:after="240"/>
        <w:ind w:left="0" w:right="0" w:firstLine="720"/>
        <w:jc w:val="both"/>
        <w:rPr/>
      </w:pPr>
      <w:r>
        <w:rPr>
          <w:rFonts w:ascii="Times New Roman;serif" w:hAnsi="Times New Roman;serif"/>
          <w:b/>
          <w:color w:val="000000"/>
          <w:sz w:val="22"/>
        </w:rPr>
        <w:t>2.11</w:t>
      </w:r>
      <w:r>
        <w:rPr>
          <w:rFonts w:ascii="Times New Roman;serif" w:hAnsi="Times New Roman;serif"/>
          <w:b/>
          <w:color w:val="000000"/>
          <w:sz w:val="22"/>
          <w:u w:val="single"/>
        </w:rPr>
        <w:t>Evidence of Debt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Maintenance of Accounts</w:t>
      </w:r>
      <w:r>
        <w:rPr>
          <w:rFonts w:ascii="Times New Roman;serif" w:hAnsi="Times New Roman;serif"/>
          <w:b w:val="false"/>
          <w:color w:val="000000"/>
          <w:sz w:val="22"/>
        </w:rPr>
        <w:t xml:space="preserve">. The Credit Extensions made by each Lender shall be evidenced by one or more accounts or records maintained by such Lender in the ordinary course of business. The Administrative Agent shall maintain the Register in accordance with </w:t>
      </w:r>
      <w:r>
        <w:rPr>
          <w:rFonts w:ascii="Times New Roman;serif" w:hAnsi="Times New Roman;serif"/>
          <w:b w:val="false"/>
          <w:color w:val="000000"/>
          <w:sz w:val="22"/>
          <w:u w:val="single"/>
        </w:rPr>
        <w:t>Section 11.06(c</w:t>
      </w:r>
      <w:r>
        <w:rPr>
          <w:rFonts w:ascii="Times New Roman;serif" w:hAnsi="Times New Roman;serif"/>
          <w:b w:val="false"/>
          <w:color w:val="000000"/>
          <w:sz w:val="22"/>
        </w:rPr>
        <w:t>). The accounts or records maintained by each Lender shall be conclusive absent manifest error of the amount of the Credit Extensions made by the Lenders to any Borrower and the interest and payments thereon. Any failure to so record or any error in doing so shall not, however, limit or otherwise affect the obligation of such Borrower hereunder to pay any amount owing with respect to the Obligations. In the event of any conflict between the accounts and records maintained by any Lender and the Register, the Register shall control in the absence of manifest error. Upon the request of any Lender made through the Administrative Agent, the Borrowers shall execute and deliver to such Lender (through the Administrative Agent) a Note, which shall evidence such Lender’s Loans in addition to such accounts or records. Each Lender may attach schedules to its Note and endorse thereon the date, Type (if applicable), amount, currency and maturity of its Loans and payments with respect thereto.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Maintenance of Records</w:t>
      </w:r>
      <w:r>
        <w:rPr>
          <w:rFonts w:ascii="Times New Roman;serif" w:hAnsi="Times New Roman;serif"/>
          <w:b w:val="false"/>
          <w:color w:val="000000"/>
          <w:sz w:val="22"/>
        </w:rPr>
        <w:t xml:space="preserve">. In addition to the accounts and records referred to in </w:t>
      </w:r>
      <w:r>
        <w:rPr>
          <w:rFonts w:ascii="Times New Roman;serif" w:hAnsi="Times New Roman;serif"/>
          <w:b w:val="false"/>
          <w:color w:val="000000"/>
          <w:sz w:val="22"/>
          <w:u w:val="single"/>
        </w:rPr>
        <w:t>Section 2.11(a</w:t>
      </w:r>
      <w:r>
        <w:rPr>
          <w:rFonts w:ascii="Times New Roman;serif" w:hAnsi="Times New Roman;serif"/>
          <w:b w:val="false"/>
          <w:color w:val="000000"/>
          <w:sz w:val="22"/>
        </w:rPr>
        <w:t>), each Lender and the Administrative Agent shall maintain in accordance with its usual practice accounts or records evidencing the purchases and sales by such Lender of participations in Letters of Credit and Swingline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pStyle w:val="TextBody"/>
        <w:bidi w:val="0"/>
        <w:spacing w:lineRule="auto" w:line="240" w:before="0" w:after="240"/>
        <w:ind w:left="0" w:right="0" w:firstLine="720"/>
        <w:jc w:val="both"/>
        <w:rPr/>
      </w:pPr>
      <w:r>
        <w:rPr>
          <w:rFonts w:ascii="Times New Roman;serif" w:hAnsi="Times New Roman;serif"/>
          <w:b/>
          <w:color w:val="000000"/>
          <w:sz w:val="22"/>
        </w:rPr>
        <w:t>2.12</w:t>
      </w:r>
      <w:r>
        <w:rPr>
          <w:rFonts w:ascii="Times New Roman;serif" w:hAnsi="Times New Roman;serif"/>
          <w:b/>
          <w:color w:val="000000"/>
          <w:sz w:val="22"/>
          <w:u w:val="single"/>
        </w:rPr>
        <w:t>Payments Generally; Administrative Agent’s Clawback</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General</w:t>
      </w:r>
      <w:r>
        <w:rPr>
          <w:rFonts w:ascii="Times New Roman;serif" w:hAnsi="Times New Roman;serif"/>
          <w:b w:val="false"/>
          <w:color w:val="000000"/>
          <w:sz w:val="22"/>
        </w:rPr>
        <w:t xml:space="preserve">. All payments to be made by any Borrower shall be made free and clear of and without condition or deduction for any counterclaim, defense, recoupment or setoff. Except as otherwise expressly provided herein and except with respect to principal of and interest on Loans denominated in an Alternative Currency, all payments by any Borrower hereunder shall be made to the Administrative Agent, for the account of the respective Lenders to which such payment is owed, at the Administrative Agent’s Office in Dollars and in Same Day Funds not later than 2:00 p.m. on the date specified herein. Except as otherwise expressly provided herein, all payments by any Borrower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such Borrower shall make such payment in Dollars in the Dollar Equivalent of the Alternative Currency payment amount.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(i) after 2:00 p.m. or (ii) after the Applicable Time specified by the Administrative Agent, in the case of payments in an Alternative Currency, shall in each case be deemed received on the next succeeding Business Day and any applicable interest or fee shall continue to accrue. Subject to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85445"/>
                <wp:effectExtent l="0" t="0" r="0" b="0"/>
                <wp:wrapNone/>
                <wp:docPr id="106" name="Frame1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u w:val="single"/>
        </w:rPr>
        <w:t>Section 2.07</w:t>
      </w:r>
      <w:r>
        <w:rPr>
          <w:color w:val="000000"/>
        </w:rPr>
        <w:t xml:space="preserve"> </w:t>
      </w:r>
      <w:r>
        <w:rPr>
          <w:rFonts w:ascii="Times New Roman;serif" w:hAnsi="Times New Roman;serif"/>
          <w:b w:val="false"/>
          <w:color w:val="000000"/>
          <w:sz w:val="22"/>
        </w:rPr>
        <w:t>and as otherwise specifically provided for in this Agreement, if any payment to be made by any Borrower shall come due on a day other than a Business Day, payment shall be made on the next following Business Day, and such extension of time shall be reflected in computing interest or fees, as the case may be.</w:t>
      </w:r>
    </w:p>
    <w:p>
      <w:pPr>
        <w:pStyle w:val="TextBody"/>
        <w:bidi w:val="0"/>
        <w:spacing w:lineRule="auto" w:line="240" w:before="0" w:after="240"/>
        <w:ind w:left="0" w:right="0" w:firstLine="720"/>
        <w:jc w:val="both"/>
        <w:rPr/>
      </w:pPr>
      <w:r>
        <w:rPr>
          <w:rFonts w:ascii="Times New Roman;serif" w:hAnsi="Times New Roman;serif"/>
          <w:b w:val="false"/>
          <w:color w:val="000000"/>
          <w:sz w:val="22"/>
        </w:rPr>
        <w:t>(b)(i)    </w:t>
      </w:r>
      <w:r>
        <w:rPr>
          <w:rFonts w:ascii="Times New Roman;serif" w:hAnsi="Times New Roman;serif"/>
          <w:b w:val="false"/>
          <w:color w:val="000000"/>
          <w:sz w:val="22"/>
          <w:u w:val="single"/>
        </w:rPr>
        <w:t>Funding by Lenders; Presumption by Administrative Agent</w:t>
      </w:r>
      <w:r>
        <w:rPr>
          <w:rFonts w:ascii="Times New Roman;serif" w:hAnsi="Times New Roman;serif"/>
          <w:b w:val="false"/>
          <w:color w:val="000000"/>
          <w:sz w:val="22"/>
        </w:rPr>
        <w:t xml:space="preserve">. Unless the Administrative Agent shall have received notice from a Lender prior to the proposed date of any Borrowing of Term SOFR Loans, Daily SOFR Loans or Alternative Currency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 xml:space="preserve">(or, in the case of a Borrowing of Base Rate Loans, that such Lender has made such share available in accordance with and at the time required by </w:t>
      </w:r>
      <w:r>
        <w:rPr>
          <w:rFonts w:ascii="Times New Roman;serif" w:hAnsi="Times New Roman;serif"/>
          <w:b w:val="false"/>
          <w:color w:val="000000"/>
          <w:sz w:val="22"/>
          <w:u w:val="single"/>
        </w:rPr>
        <w:t>Section 2.02</w:t>
      </w:r>
      <w:r>
        <w:rPr>
          <w:rFonts w:ascii="Times New Roman;serif" w:hAnsi="Times New Roman;serif"/>
          <w:b w:val="false"/>
          <w:color w:val="000000"/>
          <w:sz w:val="22"/>
        </w:rPr>
        <w:t xml:space="preserve">) and may, in reliance upon such assumption, make available to the Borrowers a corresponding amount. In such event, if a Lender has not in fact made its share of the applicable Borrowing available to the Administrative Agent, then the applicable Lender and the Borrowers severally agree to pay to the Administrative Agent forthwith on demand such corresponding amount in Same Day Funds with interest thereon, for each day from and including the date such amount is made available to the Borrowers to but excluding the date of payment to the Administrative Agent, at (A) in the case of a payment to be made by such Lender, the Overnight Rate,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any administrative, processing or similar fees customarily charged by the Administrative Agent in connection with the foregoing, and (B) in the case of a payment to be made by the Borrowers, the interest rate applicable to Base Rate Loans or in the case of Alternative Currencies in accordance with such market practice, in each case, as applicable. If any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any Borrower shall be without prejudice to any claim any Borrower may have against a Lender that shall have failed to make such payment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Payments by Borrowers; Presumptions by Administrative Agent</w:t>
      </w:r>
      <w:r>
        <w:rPr>
          <w:rFonts w:ascii="Times New Roman;serif" w:hAnsi="Times New Roman;serif"/>
          <w:b w:val="false"/>
          <w:color w:val="000000"/>
          <w:sz w:val="22"/>
        </w:rPr>
        <w:t>. Unless the Administrative Agent shall have received notice from the Borrowers prior to the date on which any payment is due to the Administrative Agent for the account of the Lenders or any L/C Issuer hereunder that the Borrowers will not make such payment, the Administrative Agent may assume that the Borrowers have made such payment on such date in accordance herewith and may, in reliance upon such assumption, distribute to the Appropriate Lenders or the applicable L/C Issuers, as the case may be, the amount due. With respect to any payment that the Administrative Agent makes for the account of the Lenders or any L/C Issuer hereunder as to which the Administrative Agent determines (which determination shall be conclusive absent manifest error) that any of the following applies (such payment referred to as the “</w:t>
      </w:r>
      <w:r>
        <w:rPr>
          <w:rFonts w:ascii="Times New Roman;serif" w:hAnsi="Times New Roman;serif"/>
          <w:b w:val="false"/>
          <w:color w:val="000000"/>
          <w:sz w:val="22"/>
          <w:u w:val="single"/>
        </w:rPr>
        <w:t>Rescindable Amount</w:t>
      </w:r>
      <w:r>
        <w:rPr>
          <w:color w:val="000000"/>
        </w:rPr>
        <w:t>”</w:t>
      </w:r>
      <w:r>
        <w:rPr>
          <w:rFonts w:ascii="Times New Roman;serif" w:hAnsi="Times New Roman;serif"/>
          <w:b w:val="false"/>
          <w:color w:val="000000"/>
          <w:sz w:val="22"/>
        </w:rPr>
        <w:t>): (1) the Borrowers have not in fact made such payment; (2) the Administrative Agent has made a payment in excess of the amount so paid by the Borrowers (whether or not then owed); or (3) the Administrative Agent has for any reason otherwise erroneously made such payment, then each of the Appropriate Lenders or the applicable L/C Issuers, as the case may be, severally agrees to repay to the Administrative Agent forthwith on demand the amount so distributed to such Lender or such L/C Issuer, in Same Day Funds with interest thereon, for each day from and including the date such amount is distributed to it to but excluding the date of payment to the Administrative Agent, at the Overnight Rate.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 notice of the Administrative Agent to any Lender or the Borrowers with respect to any amount owing under this </w:t>
      </w:r>
      <w:r>
        <w:rPr>
          <w:rFonts w:ascii="Times New Roman;serif" w:hAnsi="Times New Roman;serif"/>
          <w:b w:val="false"/>
          <w:color w:val="000000"/>
          <w:sz w:val="22"/>
          <w:u w:val="single"/>
        </w:rPr>
        <w:t>clause (b</w:t>
      </w:r>
      <w:r>
        <w:rPr>
          <w:rFonts w:ascii="Times New Roman;serif" w:hAnsi="Times New Roman;serif"/>
          <w:b w:val="false"/>
          <w:color w:val="000000"/>
          <w:sz w:val="22"/>
        </w:rPr>
        <w:t>) shall be conclusive, absent manifest error.</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Failure to Satisfy Conditions Precedent</w:t>
      </w:r>
      <w:r>
        <w:rPr>
          <w:rFonts w:ascii="Times New Roman;serif" w:hAnsi="Times New Roman;serif"/>
          <w:b w:val="false"/>
          <w:color w:val="000000"/>
          <w:sz w:val="22"/>
        </w:rPr>
        <w:t xml:space="preserve">. If any Lender makes available to the Administrative Agent funds for any Loan to be made by such Lender as provided in the foregoing provisions of this </w:t>
      </w:r>
      <w:r>
        <w:rPr>
          <w:rFonts w:ascii="Times New Roman;serif" w:hAnsi="Times New Roman;serif"/>
          <w:b w:val="false"/>
          <w:color w:val="000000"/>
          <w:sz w:val="22"/>
          <w:u w:val="single"/>
        </w:rPr>
        <w:t>Article II</w:t>
      </w:r>
      <w:r>
        <w:rPr>
          <w:rFonts w:ascii="Times New Roman;serif" w:hAnsi="Times New Roman;serif"/>
          <w:b w:val="false"/>
          <w:color w:val="000000"/>
          <w:sz w:val="22"/>
        </w:rPr>
        <w:t xml:space="preserve">, and such funds are not made available to the applicable Borrower by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85445"/>
                <wp:effectExtent l="0" t="0" r="0" b="0"/>
                <wp:wrapNone/>
                <wp:docPr id="107" name="Frame10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the Administrative Agent because the conditions to the applicable Credit Extension set forth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are not satisfied or waived in accordance with the terms hereof, the Administrative Agent shall return such funds (in like funds as received from such Lender) to such Lender, without interest.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Obligations of Lenders Several</w:t>
      </w:r>
      <w:r>
        <w:rPr>
          <w:rFonts w:ascii="Times New Roman;serif" w:hAnsi="Times New Roman;serif"/>
          <w:b w:val="false"/>
          <w:color w:val="000000"/>
          <w:sz w:val="22"/>
        </w:rPr>
        <w:t xml:space="preserve">. The obligations of the Lenders hereunder to make Term Loans and Revolving Loans, to fund participations in Letters of Credit and Swingline Loans and to make payments pursuant to </w:t>
      </w:r>
      <w:r>
        <w:rPr>
          <w:rFonts w:ascii="Times New Roman;serif" w:hAnsi="Times New Roman;serif"/>
          <w:b w:val="false"/>
          <w:color w:val="000000"/>
          <w:sz w:val="22"/>
          <w:u w:val="single"/>
        </w:rPr>
        <w:t>Section 11.04(c</w:t>
      </w:r>
      <w:r>
        <w:rPr>
          <w:rFonts w:ascii="Times New Roman;serif" w:hAnsi="Times New Roman;serif"/>
          <w:b w:val="false"/>
          <w:color w:val="000000"/>
          <w:sz w:val="22"/>
        </w:rPr>
        <w:t xml:space="preserve">) are several and not joint. The failure of any Lender to make any Loan, to fund any such participation or to make any payment under </w:t>
      </w:r>
      <w:r>
        <w:rPr>
          <w:rFonts w:ascii="Times New Roman;serif" w:hAnsi="Times New Roman;serif"/>
          <w:b w:val="false"/>
          <w:color w:val="000000"/>
          <w:sz w:val="22"/>
          <w:u w:val="single"/>
        </w:rPr>
        <w:t>Section 11.04(c</w:t>
      </w:r>
      <w:r>
        <w:rPr>
          <w:rFonts w:ascii="Times New Roman;serif" w:hAnsi="Times New Roman;serif"/>
          <w:b w:val="false"/>
          <w:color w:val="000000"/>
          <w:sz w:val="22"/>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serif" w:hAnsi="Times New Roman;serif"/>
          <w:b w:val="false"/>
          <w:color w:val="000000"/>
          <w:sz w:val="22"/>
          <w:u w:val="single"/>
        </w:rPr>
        <w:t>Section 11.04(c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Funding Source</w:t>
      </w:r>
      <w:r>
        <w:rPr>
          <w:rFonts w:ascii="Times New Roman;serif" w:hAnsi="Times New Roman;serif"/>
          <w:b w:val="false"/>
          <w:color w:val="000000"/>
          <w:sz w:val="22"/>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Insufficient Funds</w:t>
      </w:r>
      <w:r>
        <w:rPr>
          <w:rFonts w:ascii="Times New Roman;serif" w:hAnsi="Times New Roman;serif"/>
          <w:b w:val="false"/>
          <w:color w:val="000000"/>
          <w:sz w:val="22"/>
        </w:rPr>
        <w:t xml:space="preserve">. If at any time insufficient funds are received by and available to the Administrative Agent to pay fully all amounts of principal, L/C Borrowings, interest and fees then due hereunder, such funds shall be applied (i) first, toward payment of interest and fees then due hereunder, ratably among the parties entitled thereto in accordance with the amounts of interest and fees then due to such parties, and (ii) second, toward payment of principal and L/C Borrowings then due hereunder, ratably among the parties entitled thereto in accordance with the amounts of principal and L/C Borrowings then due to such parties. </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Pro Rata Treatment</w:t>
      </w:r>
      <w:r>
        <w:rPr>
          <w:rFonts w:ascii="Times New Roman;serif" w:hAnsi="Times New Roman;serif"/>
          <w:b w:val="false"/>
          <w:color w:val="000000"/>
          <w:sz w:val="22"/>
        </w:rPr>
        <w:t xml:space="preserve">. Except to the extent otherwise provided herein: (i) each Borrowing (other than Swingline Borrowings) shall be made from the Appropriate Lenders, each payment of fees under </w:t>
      </w:r>
      <w:r>
        <w:rPr>
          <w:rFonts w:ascii="Times New Roman;serif" w:hAnsi="Times New Roman;serif"/>
          <w:b w:val="false"/>
          <w:color w:val="000000"/>
          <w:sz w:val="22"/>
          <w:u w:val="single"/>
        </w:rPr>
        <w:t>Section 2.09</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clauses (l</w:t>
      </w:r>
      <w:r>
        <w:rPr>
          <w:rFonts w:ascii="Times New Roman;serif" w:hAnsi="Times New Roman;serif"/>
          <w:b w:val="false"/>
          <w:color w:val="000000"/>
          <w:sz w:val="22"/>
        </w:rPr>
        <w:t>) and (</w:t>
      </w:r>
      <w:r>
        <w:rPr>
          <w:rFonts w:ascii="Times New Roman;serif" w:hAnsi="Times New Roman;serif"/>
          <w:b w:val="false"/>
          <w:color w:val="000000"/>
          <w:sz w:val="22"/>
          <w:u w:val="single"/>
        </w:rPr>
        <w:t>m</w:t>
      </w:r>
      <w:r>
        <w:rPr>
          <w:rFonts w:ascii="Times New Roman;serif" w:hAnsi="Times New Roman;serif"/>
          <w:b w:val="false"/>
          <w:color w:val="000000"/>
          <w:sz w:val="22"/>
        </w:rPr>
        <w:t xml:space="preserve">) of </w:t>
      </w:r>
      <w:r>
        <w:rPr>
          <w:rFonts w:ascii="Times New Roman;serif" w:hAnsi="Times New Roman;serif"/>
          <w:b w:val="false"/>
          <w:color w:val="000000"/>
          <w:sz w:val="22"/>
          <w:u w:val="single"/>
        </w:rPr>
        <w:t>Section 2.03</w:t>
      </w:r>
      <w:r>
        <w:rPr>
          <w:color w:val="000000"/>
        </w:rPr>
        <w:t xml:space="preserve"> </w:t>
      </w:r>
      <w:r>
        <w:rPr>
          <w:rFonts w:ascii="Times New Roman;serif" w:hAnsi="Times New Roman;serif"/>
          <w:b w:val="false"/>
          <w:color w:val="000000"/>
          <w:sz w:val="22"/>
        </w:rPr>
        <w:t xml:space="preserve">shall be made for account of the Appropriate Lenders, and each termination or reduction of the amount of the Commitments shall be applied to the respective Commitments of the Lenders,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according to the amounts of their respective Commitments; (ii) each Borrowing shall be allocated pro rata among the Lenders according to the amounts of their respective Commitments (in the case of the making of Revolving Loans) or their respective Loans that are to be included in such Borrowing (in the case of conversions and continuations of Loans); (iii) each payment or prepayment of principal of Loans by the Borrowers shall be made for account of the Appropriate Lenders pro rata in accordance with the respective unpaid principal amounts of the Loans held by them; and (iv) each payment of interest on Loans by the Borrowers shall be made for account of the Appropriate Lenders pro rata in accordance with the amounts of interest on such Loans then due and payable to the respective Appropriate Lenders.</w:t>
      </w:r>
    </w:p>
    <w:p>
      <w:pPr>
        <w:pStyle w:val="TextBody"/>
        <w:bidi w:val="0"/>
        <w:spacing w:lineRule="auto" w:line="240" w:before="0" w:after="240"/>
        <w:ind w:left="0" w:right="0" w:firstLine="720"/>
        <w:jc w:val="both"/>
        <w:rPr/>
      </w:pPr>
      <w:r>
        <w:rPr>
          <w:rFonts w:ascii="Times New Roman;serif" w:hAnsi="Times New Roman;serif"/>
          <w:b/>
          <w:color w:val="000000"/>
          <w:sz w:val="22"/>
        </w:rPr>
        <w:t>2.13</w:t>
      </w:r>
      <w:r>
        <w:rPr>
          <w:rFonts w:ascii="Times New Roman;serif" w:hAnsi="Times New Roman;serif"/>
          <w:b/>
          <w:color w:val="000000"/>
          <w:sz w:val="22"/>
          <w:u w:val="single"/>
        </w:rPr>
        <w:t>Sharing of Payments by Lenders</w:t>
      </w:r>
      <w:r>
        <w:rPr>
          <w:rFonts w:ascii="Times New Roman;serif" w:hAnsi="Times New Roman;serif"/>
          <w:b/>
          <w:color w:val="000000"/>
          <w:sz w:val="22"/>
        </w:rPr>
        <w:t>.</w:t>
      </w:r>
      <w:r>
        <w:rPr>
          <w:color w:val="00000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any Lender shall, by exercising any right of setoff or counterclaim or otherwise, obtain payment in respect of (a) Obligations due and payable to such Lender hereunder and under the other Loan Documents at such time in excess of its ratable share (according to the proportion of (i) the amount of such Obligations due and payable to such Lender at such time to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Documents at such time) of payments on account of the Obligations owing (but not due and payable) to all Lenders hereunder and under the other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85445"/>
                <wp:effectExtent l="0" t="0" r="0" b="0"/>
                <wp:wrapNone/>
                <wp:docPr id="108" name="Frame10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Loan Documents at such time obtained by all of the Lenders at such time, then, in each case under </w:t>
      </w:r>
      <w:r>
        <w:rPr>
          <w:rFonts w:ascii="Times New Roman;serif" w:hAnsi="Times New Roman;serif"/>
          <w:b w:val="false"/>
          <w:color w:val="000000"/>
          <w:sz w:val="22"/>
          <w:u w:val="single"/>
        </w:rPr>
        <w:t>clauses (a</w:t>
      </w:r>
      <w:r>
        <w:rPr>
          <w:rFonts w:ascii="Times New Roman;serif" w:hAnsi="Times New Roman;serif"/>
          <w:b w:val="false"/>
          <w:color w:val="000000"/>
          <w:sz w:val="22"/>
        </w:rPr>
        <w:t>) and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above, the Lender receiving such greater proportion shall (A) notify the Administrative Agent of such fact, and (B) purchase (for cash at face value) participations in the Loans and sub-participations in L/C Obligations and Swingline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(ii)the provisions of this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 xml:space="preserve">shall not be construed to apply to (A) any payment made by or on behalf of the Borrowers pursuant to and in accordance with the express terms of this Agreement (including the application of funds arising from the existence of a Defaulting Lender), (B) the application of Cash Collateral provided for in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or (C) any payment obtained by a Lender as consideration for the assignment of or sale of a participation in any of its Loans or sub-participations in L/C Obligations or Swingline Loans to any assignee or participant, other than an assignment to any Loan Party or any Affiliate thereof (as to which the provisions of this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shall apply).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pStyle w:val="TextBody"/>
        <w:bidi w:val="0"/>
        <w:spacing w:lineRule="auto" w:line="240" w:before="0" w:after="240"/>
        <w:ind w:left="0" w:right="0" w:firstLine="720"/>
        <w:jc w:val="both"/>
        <w:rPr/>
      </w:pPr>
      <w:r>
        <w:rPr>
          <w:rFonts w:ascii="Times New Roman;serif" w:hAnsi="Times New Roman;serif"/>
          <w:b/>
          <w:color w:val="000000"/>
          <w:sz w:val="22"/>
        </w:rPr>
        <w:t>2.14</w:t>
      </w:r>
      <w:r>
        <w:rPr>
          <w:rFonts w:ascii="Times New Roman;serif" w:hAnsi="Times New Roman;serif"/>
          <w:b/>
          <w:color w:val="000000"/>
          <w:sz w:val="22"/>
          <w:u w:val="single"/>
        </w:rPr>
        <w:t>Cash Collateral</w:t>
      </w:r>
      <w:r>
        <w:rPr>
          <w:rFonts w:ascii="Times New Roman;serif" w:hAnsi="Times New Roman;serif"/>
          <w:b/>
          <w:color w:val="000000"/>
          <w:sz w:val="22"/>
        </w:rPr>
        <w:t>.</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Obligation to Cash Collateralize</w:t>
      </w:r>
      <w:r>
        <w:rPr>
          <w:rFonts w:ascii="Times New Roman;serif" w:hAnsi="Times New Roman;serif"/>
          <w:b w:val="false"/>
          <w:color w:val="000000"/>
          <w:sz w:val="22"/>
        </w:rPr>
        <w:t xml:space="preserve">. At any time there shall exist a Defaulting Lender, within one Business Day following the written request of the Administrative Agent or any L/C Issuer (with a copy to the Administrative Agent), the Borrowers shall Cash Collateralize the L/C Issuers’ Fronting Exposure with respect to such Defaulting Lender (determined after giving effect to </w:t>
      </w:r>
      <w:r>
        <w:rPr>
          <w:rFonts w:ascii="Times New Roman;serif" w:hAnsi="Times New Roman;serif"/>
          <w:b w:val="false"/>
          <w:color w:val="000000"/>
          <w:sz w:val="22"/>
          <w:u w:val="single"/>
        </w:rPr>
        <w:t>Section 2.15(a)(iv</w:t>
      </w:r>
      <w:r>
        <w:rPr>
          <w:rFonts w:ascii="Times New Roman;serif" w:hAnsi="Times New Roman;serif"/>
          <w:b w:val="false"/>
          <w:color w:val="000000"/>
          <w:sz w:val="22"/>
        </w:rPr>
        <w:t>) and any Cash Collateral provided by such Defaulting Lender) in an amount not less than the Minimum Collateral Amount. Additionally, if the Administrative Agent notifies the Company at any time that the Outstanding Amount of all L/C Obligations at such time exceeds 105% of the Letter of Credit Sublimit then in effect, then within two (2) Business Days after receipt of such notice, the Company shall provide Cash Collateral for the Outstanding Amount of the L/C Obligations in an amount not less than the amount by which the Outstanding Amount of all L/C Obligations exceeds the Letter of Credit Sublimit.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Grant of Security Interest</w:t>
      </w:r>
      <w:r>
        <w:rPr>
          <w:rFonts w:ascii="Times New Roman;serif" w:hAnsi="Times New Roman;serif"/>
          <w:b w:val="false"/>
          <w:color w:val="000000"/>
          <w:sz w:val="22"/>
        </w:rPr>
        <w:t xml:space="preserve">. Each Borrower, and to the extent provided by any Defaulting Lender, such Defaulting Lender, hereby grants to (and subjects to the control of) the Administrative Agent, for the benefit of the Administrative Agent, the L/C Issuers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serif" w:hAnsi="Times New Roman;serif"/>
          <w:b w:val="false"/>
          <w:color w:val="000000"/>
          <w:sz w:val="22"/>
          <w:u w:val="single"/>
        </w:rPr>
        <w:t>Section 2.14(c</w:t>
      </w:r>
      <w:r>
        <w:rPr>
          <w:rFonts w:ascii="Times New Roman;serif" w:hAnsi="Times New Roman;serif"/>
          <w:b w:val="false"/>
          <w:color w:val="000000"/>
          <w:sz w:val="22"/>
        </w:rPr>
        <w:t xml:space="preserve">). If at any time the Administrative Agent determines that Cash Collateral is subject to any right or claim of any Person other than the Administrative Agent or the applicable L/C Issuer as herein provided, or that the total amount of such Cash Collateral is less than the Minimum Collateral Amount, the Borrowers will, promptly upon demand by the Administrative Agent, pay or provide to the Administrative Agent additional Cash Collateral in an amount sufficient to eliminate such deficiency (determined in the case of Cash Collateral provided pursuant to </w:t>
      </w:r>
      <w:r>
        <w:rPr>
          <w:rFonts w:ascii="Times New Roman;serif" w:hAnsi="Times New Roman;serif"/>
          <w:b w:val="false"/>
          <w:color w:val="000000"/>
          <w:sz w:val="22"/>
          <w:u w:val="single"/>
        </w:rPr>
        <w:t>Section 2.15(a)(v</w:t>
      </w:r>
      <w:r>
        <w:rPr>
          <w:rFonts w:ascii="Times New Roman;serif" w:hAnsi="Times New Roman;serif"/>
          <w:b w:val="false"/>
          <w:color w:val="000000"/>
          <w:sz w:val="22"/>
        </w:rPr>
        <w:t xml:space="preserve">), after giving effect to </w:t>
      </w:r>
      <w:r>
        <w:rPr>
          <w:rFonts w:ascii="Times New Roman;serif" w:hAnsi="Times New Roman;serif"/>
          <w:b w:val="false"/>
          <w:color w:val="000000"/>
          <w:sz w:val="22"/>
          <w:u w:val="single"/>
        </w:rPr>
        <w:t>Section 2.15(a)(v</w:t>
      </w:r>
      <w:r>
        <w:rPr>
          <w:rFonts w:ascii="Times New Roman;serif" w:hAnsi="Times New Roman;serif"/>
          <w:b w:val="false"/>
          <w:color w:val="000000"/>
          <w:sz w:val="22"/>
        </w:rPr>
        <w:t xml:space="preserve">) and any Cash Collateral provided by the Defaulting Lender). All Cash Collateral (other than credit support not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85445"/>
                <wp:effectExtent l="0" t="0" r="0" b="0"/>
                <wp:wrapNone/>
                <wp:docPr id="109" name="Frame10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constituting funds subject to deposit) shall be maintained in identified, blocked, non-interest bearing deposit accounts at Bank of America. The Borrowers shall pay on demand therefor from time to time all customary account opening, activity and other administrative fees and charges in connection with the maintenance and disbursement of Cash Collateral.</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Application</w:t>
      </w:r>
      <w:r>
        <w:rPr>
          <w:rFonts w:ascii="Times New Roman;serif" w:hAnsi="Times New Roman;serif"/>
          <w:b w:val="false"/>
          <w:color w:val="000000"/>
          <w:sz w:val="22"/>
        </w:rPr>
        <w:t xml:space="preserve">. Notwithstanding anything to the contrary contained in this Agreement, Cash Collateral provided under any of this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Sections 2.03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 xml:space="preserve">2.15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8.02</w:t>
      </w:r>
      <w:r>
        <w:rPr>
          <w:color w:val="000000"/>
        </w:rPr>
        <w:t xml:space="preserve"> </w:t>
      </w:r>
      <w:r>
        <w:rPr>
          <w:rFonts w:ascii="Times New Roman;serif" w:hAnsi="Times New Roman;serif"/>
          <w:b w:val="false"/>
          <w:color w:val="000000"/>
          <w:sz w:val="22"/>
        </w:rPr>
        <w:t>in respect of Letters of Credit shall be held and applied to the satisfaction of the specific L/C Obligations, obligations to fund participations therein (including, as to Cash Collateral provided by a Revolving Lender that is a Defaulting Lender, any interest accrued on such obligation) and other obligations for which the Cash Collateral was so provided, prior to any other application of such property as may be provided for herein.</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Release</w:t>
      </w:r>
      <w:r>
        <w:rPr>
          <w:rFonts w:ascii="Times New Roman;serif" w:hAnsi="Times New Roman;serif"/>
          <w:b w:val="false"/>
          <w:color w:val="000000"/>
          <w:sz w:val="22"/>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Revolving Lender (or, as appropriate, its assignee following compliance with </w:t>
      </w:r>
      <w:r>
        <w:rPr>
          <w:rFonts w:ascii="Times New Roman;serif" w:hAnsi="Times New Roman;serif"/>
          <w:b w:val="false"/>
          <w:color w:val="000000"/>
          <w:sz w:val="22"/>
          <w:u w:val="single"/>
        </w:rPr>
        <w:t>Section 11.06(b)(vi</w:t>
      </w:r>
      <w:r>
        <w:rPr>
          <w:rFonts w:ascii="Times New Roman;serif" w:hAnsi="Times New Roman;serif"/>
          <w:b w:val="false"/>
          <w:color w:val="000000"/>
          <w:sz w:val="22"/>
        </w:rPr>
        <w:t xml:space="preserve">))) or (ii) the determination by the Administrative Agent and the applicable L/C Issuer that there exists excess Cash Collateral;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(A) any such release shall be without prejudice to, and any disbursement or other transfer of Cash Collateral shall be and remain subject to, any other Lien conferred under the Loan Documents and the other applicable provisions of the Loan Documents, and (B) the Person providing Cash Collateral and the applicable L/C Issuer may agree that Cash Collateral shall not be released but instead held to support future anticipated Fronting Exposure or other obligations.</w:t>
      </w:r>
    </w:p>
    <w:p>
      <w:pPr>
        <w:pStyle w:val="TextBody"/>
        <w:bidi w:val="0"/>
        <w:spacing w:lineRule="auto" w:line="240" w:before="0" w:after="240"/>
        <w:ind w:left="0" w:right="0" w:firstLine="720"/>
        <w:jc w:val="both"/>
        <w:rPr/>
      </w:pPr>
      <w:r>
        <w:rPr>
          <w:rFonts w:ascii="Times New Roman;serif" w:hAnsi="Times New Roman;serif"/>
          <w:b/>
          <w:color w:val="000000"/>
          <w:sz w:val="22"/>
        </w:rPr>
        <w:t>2.15</w:t>
      </w:r>
      <w:r>
        <w:rPr>
          <w:rFonts w:ascii="Times New Roman;serif" w:hAnsi="Times New Roman;serif"/>
          <w:b/>
          <w:color w:val="000000"/>
          <w:sz w:val="22"/>
          <w:u w:val="single"/>
        </w:rPr>
        <w:t>Defaulting Lenders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Adjustments</w:t>
      </w:r>
      <w:r>
        <w:rPr>
          <w:rFonts w:ascii="Times New Roman;serif" w:hAnsi="Times New Roman;serif"/>
          <w:b w:val="false"/>
          <w:color w:val="000000"/>
          <w:sz w:val="22"/>
        </w:rPr>
        <w:t>.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Waivers and Amendments</w:t>
      </w:r>
      <w:r>
        <w:rPr>
          <w:rFonts w:ascii="Times New Roman;serif" w:hAnsi="Times New Roman;serif"/>
          <w:b w:val="false"/>
          <w:color w:val="000000"/>
          <w:sz w:val="22"/>
        </w:rPr>
        <w:t xml:space="preserve">. Such Defaulting Lender’s right to approve or disapprove any amendment, waiver or consent with respect to this Agreement shall be restricted as set forth in the definition of “Required Lenders” and </w:t>
      </w:r>
      <w:r>
        <w:rPr>
          <w:rFonts w:ascii="Times New Roman;serif" w:hAnsi="Times New Roman;serif"/>
          <w:b w:val="false"/>
          <w:color w:val="000000"/>
          <w:sz w:val="22"/>
          <w:u w:val="single"/>
        </w:rPr>
        <w:t>Section 11.01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Defaulting Lender Waterfall</w:t>
      </w:r>
      <w:r>
        <w:rPr>
          <w:rFonts w:ascii="Times New Roman;serif" w:hAnsi="Times New Roman;serif"/>
          <w:b w:val="false"/>
          <w:color w:val="000000"/>
          <w:sz w:val="22"/>
        </w:rPr>
        <w:t xml:space="preserve">. Any payment of principal, interest, fees or other amounts received by the Administrative Agent for the account of such Defaulting Lender (whether voluntary or mandatory, at maturity, pursuant to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 xml:space="preserve">or otherwise) or received by the Administrative Agent from a Defaulting Lender pursuant to </w:t>
      </w:r>
      <w:r>
        <w:rPr>
          <w:rFonts w:ascii="Times New Roman;serif" w:hAnsi="Times New Roman;serif"/>
          <w:b w:val="false"/>
          <w:color w:val="000000"/>
          <w:sz w:val="22"/>
          <w:u w:val="single"/>
        </w:rPr>
        <w:t>Section 11.08</w:t>
      </w:r>
      <w:r>
        <w:rPr>
          <w:color w:val="000000"/>
        </w:rPr>
        <w:t xml:space="preserve"> </w:t>
      </w:r>
      <w:r>
        <w:rPr>
          <w:rFonts w:ascii="Times New Roman;serif" w:hAnsi="Times New Roman;serif"/>
          <w:b w:val="false"/>
          <w:color w:val="000000"/>
          <w:sz w:val="22"/>
        </w:rPr>
        <w:t xml:space="preserve">shall be applied at such time or times as may be determined by the Administrative Agent as follows: </w:t>
      </w:r>
      <w:r>
        <w:rPr>
          <w:rFonts w:ascii="Times New Roman;serif" w:hAnsi="Times New Roman;serif"/>
          <w:b w:val="false"/>
          <w:i/>
          <w:color w:val="000000"/>
          <w:sz w:val="22"/>
          <w:u w:val="single"/>
        </w:rPr>
        <w:t>first</w:t>
      </w:r>
      <w:r>
        <w:rPr>
          <w:rFonts w:ascii="Times New Roman;serif" w:hAnsi="Times New Roman;serif"/>
          <w:b w:val="false"/>
          <w:color w:val="000000"/>
          <w:sz w:val="22"/>
        </w:rPr>
        <w:t xml:space="preserve">, to the payment of any amounts owing by such Defaulting Lender to the Administrative Agent hereunder; </w:t>
      </w:r>
      <w:r>
        <w:rPr>
          <w:rFonts w:ascii="Times New Roman;serif" w:hAnsi="Times New Roman;serif"/>
          <w:b w:val="false"/>
          <w:i/>
          <w:color w:val="000000"/>
          <w:sz w:val="22"/>
          <w:u w:val="single"/>
        </w:rPr>
        <w:t>second</w:t>
      </w:r>
      <w:r>
        <w:rPr>
          <w:rFonts w:ascii="Times New Roman;serif" w:hAnsi="Times New Roman;serif"/>
          <w:b w:val="false"/>
          <w:color w:val="000000"/>
          <w:sz w:val="22"/>
        </w:rPr>
        <w:t xml:space="preserve">, to the payment on a pro rata basis of any amounts owing by such Defaulting Lender to any L/C Issuer or the Swingline Lender hereunder; </w:t>
      </w:r>
      <w:r>
        <w:rPr>
          <w:rFonts w:ascii="Times New Roman;serif" w:hAnsi="Times New Roman;serif"/>
          <w:b w:val="false"/>
          <w:i/>
          <w:color w:val="000000"/>
          <w:sz w:val="22"/>
          <w:u w:val="single"/>
        </w:rPr>
        <w:t>third</w:t>
      </w:r>
      <w:r>
        <w:rPr>
          <w:rFonts w:ascii="Times New Roman;serif" w:hAnsi="Times New Roman;serif"/>
          <w:b w:val="false"/>
          <w:color w:val="000000"/>
          <w:sz w:val="22"/>
        </w:rPr>
        <w:t xml:space="preserve">, to Cash Collateralize the L/C Issuers’ Fronting Exposure with respect to such Defaulting Lender in accordance with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w:t>
      </w:r>
      <w:r>
        <w:rPr>
          <w:rFonts w:ascii="Times New Roman;serif" w:hAnsi="Times New Roman;serif"/>
          <w:b w:val="false"/>
          <w:i/>
          <w:color w:val="000000"/>
          <w:sz w:val="22"/>
          <w:u w:val="single"/>
        </w:rPr>
        <w:t>fourth</w:t>
      </w:r>
      <w:r>
        <w:rPr>
          <w:rFonts w:ascii="Times New Roman;serif" w:hAnsi="Times New Roman;serif"/>
          <w:b w:val="false"/>
          <w:color w:val="000000"/>
          <w:sz w:val="22"/>
        </w:rPr>
        <w:t xml:space="preserve">, as the Borrowers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serif" w:hAnsi="Times New Roman;serif"/>
          <w:b w:val="false"/>
          <w:i/>
          <w:color w:val="000000"/>
          <w:sz w:val="22"/>
          <w:u w:val="single"/>
        </w:rPr>
        <w:t>fifth</w:t>
      </w:r>
      <w:r>
        <w:rPr>
          <w:rFonts w:ascii="Times New Roman;serif" w:hAnsi="Times New Roman;serif"/>
          <w:b w:val="false"/>
          <w:color w:val="000000"/>
          <w:sz w:val="22"/>
        </w:rPr>
        <w:t xml:space="preserve">, if so determined by the Administrative Agent and the Borrowers, to be held in a deposit account and released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in order to (A) satisfy such Defaulting Lender’s potential future funding obligations with respect to Loans under this Agreement and (B) Cash Collateralize the L/C Issuer</w:t>
      </w:r>
      <w:r>
        <w:rPr>
          <w:rFonts w:ascii="Times New Roman;serif" w:hAnsi="Times New Roman;serif"/>
          <w:b/>
          <w:color w:val="000000"/>
          <w:sz w:val="22"/>
        </w:rPr>
        <w:t>s</w:t>
      </w:r>
      <w:r>
        <w:rPr>
          <w:color w:val="000000"/>
        </w:rPr>
        <w:t xml:space="preserve">’ </w:t>
      </w:r>
      <w:r>
        <w:rPr>
          <w:rFonts w:ascii="Times New Roman;serif" w:hAnsi="Times New Roman;serif"/>
          <w:b w:val="false"/>
          <w:color w:val="000000"/>
          <w:sz w:val="22"/>
        </w:rPr>
        <w:t xml:space="preserve">future Fronting Exposure with respect to such Defaulting Lender with respect to future Letters of Credit issued under this Agreement, in accordance with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w:t>
      </w:r>
      <w:r>
        <w:rPr>
          <w:rFonts w:ascii="Times New Roman;serif" w:hAnsi="Times New Roman;serif"/>
          <w:b w:val="false"/>
          <w:i/>
          <w:color w:val="000000"/>
          <w:sz w:val="22"/>
          <w:u w:val="single"/>
        </w:rPr>
        <w:t>sixth</w:t>
      </w:r>
      <w:r>
        <w:rPr>
          <w:rFonts w:ascii="Times New Roman;serif" w:hAnsi="Times New Roman;serif"/>
          <w:b w:val="false"/>
          <w:color w:val="000000"/>
          <w:sz w:val="22"/>
        </w:rPr>
        <w:t xml:space="preserve">, to the payment of any amounts owing to the Lenders, the L/C Issuers or Swingline Lender as a result of any judgment of a court of competent jurisdiction obtained by any Lender, any L/C Issuer or the Swingline Lender against such Defaulting Lender as a result of such Defaulting Lender’s breach of its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85445"/>
                <wp:effectExtent l="0" t="0" r="0" b="0"/>
                <wp:wrapNone/>
                <wp:docPr id="110" name="Frame1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obligations under this Agreement; </w:t>
      </w:r>
      <w:r>
        <w:rPr>
          <w:rFonts w:ascii="Times New Roman;serif" w:hAnsi="Times New Roman;serif"/>
          <w:b w:val="false"/>
          <w:i/>
          <w:color w:val="000000"/>
          <w:sz w:val="22"/>
          <w:u w:val="single"/>
        </w:rPr>
        <w:t>seventh</w:t>
      </w:r>
      <w:r>
        <w:rPr>
          <w:rFonts w:ascii="Times New Roman;serif" w:hAnsi="Times New Roman;serif"/>
          <w:b w:val="false"/>
          <w:color w:val="000000"/>
          <w:sz w:val="22"/>
        </w:rPr>
        <w:t xml:space="preserve">, so long as no Default or Event of Default exists, to the payment of any amounts owing to any Borrower as a result of any judgment of a court of competent jurisdiction obtained by such Borrower against such Defaulting Lender as a result of such Defaulting Lender’s breach of its obligations under this Agreement; and </w:t>
      </w:r>
      <w:r>
        <w:rPr>
          <w:rFonts w:ascii="Times New Roman;serif" w:hAnsi="Times New Roman;serif"/>
          <w:b w:val="false"/>
          <w:i/>
          <w:color w:val="000000"/>
          <w:sz w:val="22"/>
          <w:u w:val="single"/>
        </w:rPr>
        <w:t>eighth</w:t>
      </w:r>
      <w:r>
        <w:rPr>
          <w:rFonts w:ascii="Times New Roman;serif" w:hAnsi="Times New Roman;serif"/>
          <w:b w:val="false"/>
          <w:color w:val="000000"/>
          <w:sz w:val="22"/>
        </w:rPr>
        <w:t xml:space="preserve">, to such Defaulting Lender or as otherwise as may be required under the Loan Documents in connection with any Lien conferred thereunder or directed by a court of competent jurisdiction;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were satisfied or waived, such payment shall be applied solely to pay the Loans of, and L/C Obligations owed to, all Non-Defaulting Lenders on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prior to being applied to the payment of any Loans of, or L/C Obligations owed to, such Defaulting Lender until such time as all Loans and funded and unfunded participations in L/C Obligations and Swingline Loans are held by the Lenders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in accordance with the Commitments hereunder without giving effect to </w:t>
      </w:r>
      <w:r>
        <w:rPr>
          <w:rFonts w:ascii="Times New Roman;serif" w:hAnsi="Times New Roman;serif"/>
          <w:b w:val="false"/>
          <w:color w:val="000000"/>
          <w:sz w:val="22"/>
          <w:u w:val="single"/>
        </w:rPr>
        <w:t>Section 2.15(a)(v</w:t>
      </w:r>
      <w:r>
        <w:rPr>
          <w:rFonts w:ascii="Times New Roman;serif" w:hAnsi="Times New Roman;serif"/>
          <w:b w:val="false"/>
          <w:color w:val="000000"/>
          <w:sz w:val="22"/>
        </w:rPr>
        <w:t xml:space="preserve">). Any payments, prepayments or other amounts paid or payable to a Defaulting Lender that are applied (or held) to pay amounts owed by a Defaulting Lender or to post Cash Collateral pursuant to this </w:t>
      </w:r>
      <w:r>
        <w:rPr>
          <w:rFonts w:ascii="Times New Roman;serif" w:hAnsi="Times New Roman;serif"/>
          <w:b w:val="false"/>
          <w:color w:val="000000"/>
          <w:sz w:val="22"/>
          <w:u w:val="single"/>
        </w:rPr>
        <w:t>Section 2.15(a)(ii</w:t>
      </w:r>
      <w:r>
        <w:rPr>
          <w:rFonts w:ascii="Times New Roman;serif" w:hAnsi="Times New Roman;serif"/>
          <w:b w:val="false"/>
          <w:color w:val="000000"/>
          <w:sz w:val="22"/>
        </w:rPr>
        <w:t>) shall be deemed paid to and redirected by such Defaulting Lender, and each Lender irrevocably consents hereto.</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(iii)Certain Fees.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Fees</w:t>
      </w:r>
      <w:r>
        <w:rPr>
          <w:rFonts w:ascii="Times New Roman;serif" w:hAnsi="Times New Roman;serif"/>
          <w:b w:val="false"/>
          <w:color w:val="000000"/>
          <w:sz w:val="22"/>
        </w:rPr>
        <w:t xml:space="preserve">. No Defaulting Lender shall be entitled to receive any fee payable under </w:t>
      </w:r>
      <w:r>
        <w:rPr>
          <w:rFonts w:ascii="Times New Roman;serif" w:hAnsi="Times New Roman;serif"/>
          <w:b w:val="false"/>
          <w:color w:val="000000"/>
          <w:sz w:val="22"/>
          <w:u w:val="single"/>
        </w:rPr>
        <w:t>Section 2.09(a</w:t>
      </w:r>
      <w:r>
        <w:rPr>
          <w:rFonts w:ascii="Times New Roman;serif" w:hAnsi="Times New Roman;serif"/>
          <w:b w:val="false"/>
          <w:color w:val="000000"/>
          <w:sz w:val="22"/>
        </w:rPr>
        <w:t>) for any period during which that Lender is a Defaulting Lender (and the Borrowers shall not be required to pay any such fee that otherwise would have been required to have been paid to that Defaulting Lender).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Letter of Credit Fees</w:t>
      </w:r>
      <w:r>
        <w:rPr>
          <w:rFonts w:ascii="Times New Roman;serif" w:hAnsi="Times New Roman;serif"/>
          <w:b w:val="false"/>
          <w:color w:val="000000"/>
          <w:sz w:val="22"/>
        </w:rPr>
        <w:t xml:space="preserve">. Each Defaulting Lender shall be entitled to receive Letter of Credit Fees for any period during which that Lender is a Defaulting Lender only to the extent allocable to its Applicable Revolving Percentage of the stated amount of Letters of Credit for which it has provided Cash Collateral pursuant to </w:t>
      </w:r>
      <w:r>
        <w:rPr>
          <w:rFonts w:ascii="Times New Roman;serif" w:hAnsi="Times New Roman;serif"/>
          <w:b w:val="false"/>
          <w:color w:val="000000"/>
          <w:sz w:val="22"/>
          <w:u w:val="single"/>
        </w:rPr>
        <w:t>Section 2.14</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Defaulting Lender Fees</w:t>
      </w:r>
      <w:r>
        <w:rPr>
          <w:rFonts w:ascii="Times New Roman;serif" w:hAnsi="Times New Roman;serif"/>
          <w:b w:val="false"/>
          <w:color w:val="000000"/>
          <w:sz w:val="22"/>
        </w:rPr>
        <w:t xml:space="preserve">. With respect to any Letter of Credit Fee not required to be paid to any Defaulting Lender pursuant to </w:t>
      </w:r>
      <w:r>
        <w:rPr>
          <w:rFonts w:ascii="Times New Roman;serif" w:hAnsi="Times New Roman;serif"/>
          <w:b w:val="false"/>
          <w:color w:val="000000"/>
          <w:sz w:val="22"/>
          <w:u w:val="single"/>
        </w:rPr>
        <w:t>clause (B</w:t>
      </w:r>
      <w:r>
        <w:rPr>
          <w:rFonts w:ascii="Times New Roman;serif" w:hAnsi="Times New Roman;serif"/>
          <w:b w:val="false"/>
          <w:color w:val="000000"/>
          <w:sz w:val="22"/>
        </w:rPr>
        <w:t xml:space="preserve">) above, the Borrowers shall (1) pay to each Non-Defaulting Lender that portion of any such fee otherwise payable to such Defaulting Lender with respect to such Defaulting Lender’s participation in L/C Obligations or Swingline Loans that has been reallocated to such Non-Defaulting Lender pursuant to </w:t>
      </w:r>
      <w:r>
        <w:rPr>
          <w:rFonts w:ascii="Times New Roman;serif" w:hAnsi="Times New Roman;serif"/>
          <w:b w:val="false"/>
          <w:color w:val="000000"/>
          <w:sz w:val="22"/>
          <w:u w:val="single"/>
        </w:rPr>
        <w:t>clause (iv</w:t>
      </w:r>
      <w:r>
        <w:rPr>
          <w:rFonts w:ascii="Times New Roman;serif" w:hAnsi="Times New Roman;serif"/>
          <w:b w:val="false"/>
          <w:color w:val="000000"/>
          <w:sz w:val="22"/>
        </w:rPr>
        <w:t>) below, (2) pay to each L/C Issuer and the Swingline Lender, as applicable, the amount of any such fee otherwise payable to such Defaulting Lender to the extent allocable to such L/C Issuer’s or such Swingline Lender’s Fronting Exposure to such Defaulting Lender, and (3) not be required to pay the remaining amount of any such fee.</w:t>
      </w:r>
    </w:p>
    <w:p>
      <w:pPr>
        <w:pStyle w:val="TextBody"/>
        <w:bidi w:val="0"/>
        <w:spacing w:lineRule="auto" w:line="240" w:before="0" w:after="240"/>
        <w:ind w:left="0" w:right="0" w:firstLine="720"/>
        <w:jc w:val="both"/>
        <w:rPr/>
      </w:pPr>
      <w:r>
        <w:rPr>
          <w:rFonts w:ascii="Times New Roman;serif" w:hAnsi="Times New Roman;serif"/>
          <w:b w:val="false"/>
          <w:color w:val="000000"/>
          <w:sz w:val="22"/>
        </w:rPr>
        <w:t>(iv)</w:t>
      </w:r>
      <w:r>
        <w:rPr>
          <w:rFonts w:ascii="Times New Roman;serif" w:hAnsi="Times New Roman;serif"/>
          <w:b w:val="false"/>
          <w:color w:val="000000"/>
          <w:sz w:val="22"/>
          <w:u w:val="single"/>
        </w:rPr>
        <w:t>Reallocation of Applicable Revolving Percentages to Reduce Fronting Exposure</w:t>
      </w:r>
      <w:r>
        <w:rPr>
          <w:rFonts w:ascii="Times New Roman;serif" w:hAnsi="Times New Roman;serif"/>
          <w:b w:val="false"/>
          <w:color w:val="000000"/>
          <w:sz w:val="22"/>
        </w:rPr>
        <w:t xml:space="preserve">. All or any part of such Defaulting Lender’s participation in L/C Obligations and Swingline Loans shall be reallocated among the Non-Defaulting Lenders in accordance with their respective Applicable Revolving Percentages (calculated without regard to such Defaulting Lender’s Commitment) but only to the extent that such reallocation does not cause the aggregate Revolving Exposure of any Non-Defaulting Lender to exceed such Non-Defaulting Lender’s Revolving Commitment. Subject to </w:t>
      </w:r>
      <w:r>
        <w:rPr>
          <w:rFonts w:ascii="Times New Roman;serif" w:hAnsi="Times New Roman;serif"/>
          <w:b w:val="false"/>
          <w:color w:val="000000"/>
          <w:sz w:val="22"/>
          <w:u w:val="single"/>
        </w:rPr>
        <w:t>Section 11.20</w:t>
      </w:r>
      <w:r>
        <w:rPr>
          <w:rFonts w:ascii="Times New Roman;serif" w:hAnsi="Times New Roman;serif"/>
          <w:b w:val="false"/>
          <w:color w:val="000000"/>
          <w:sz w:val="22"/>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85445"/>
                <wp:effectExtent l="0" t="0" r="0" b="0"/>
                <wp:wrapNone/>
                <wp:docPr id="111" name="Frame1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(v)</w:t>
      </w:r>
      <w:r>
        <w:rPr>
          <w:rFonts w:ascii="Times New Roman;serif" w:hAnsi="Times New Roman;serif"/>
          <w:b w:val="false"/>
          <w:color w:val="000000"/>
          <w:sz w:val="22"/>
          <w:u w:val="single"/>
        </w:rPr>
        <w:t>Cash Collateral, Repayment of Swingline Loans</w:t>
      </w:r>
      <w:r>
        <w:rPr>
          <w:rFonts w:ascii="Times New Roman;serif" w:hAnsi="Times New Roman;serif"/>
          <w:b w:val="false"/>
          <w:color w:val="000000"/>
          <w:sz w:val="22"/>
        </w:rPr>
        <w:t xml:space="preserve">. If the reallocation described in </w:t>
      </w:r>
      <w:r>
        <w:rPr>
          <w:rFonts w:ascii="Times New Roman;serif" w:hAnsi="Times New Roman;serif"/>
          <w:b w:val="false"/>
          <w:color w:val="000000"/>
          <w:sz w:val="22"/>
          <w:u w:val="single"/>
        </w:rPr>
        <w:t>clause (a)(iv</w:t>
      </w:r>
      <w:r>
        <w:rPr>
          <w:rFonts w:ascii="Times New Roman;serif" w:hAnsi="Times New Roman;serif"/>
          <w:b w:val="false"/>
          <w:color w:val="000000"/>
          <w:sz w:val="22"/>
        </w:rPr>
        <w:t>) above cannot, or can only partially, be effected, the Borrowers shall, without prejudice to any right or remedy available to it hereunder or under Applicable Law, (A) </w:t>
      </w:r>
      <w:r>
        <w:rPr>
          <w:rFonts w:ascii="Times New Roman;serif" w:hAnsi="Times New Roman;serif"/>
          <w:b w:val="false"/>
          <w:i/>
          <w:color w:val="000000"/>
          <w:sz w:val="22"/>
          <w:u w:val="single"/>
        </w:rPr>
        <w:t>first</w:t>
      </w:r>
      <w:r>
        <w:rPr>
          <w:rFonts w:ascii="Times New Roman;serif" w:hAnsi="Times New Roman;serif"/>
          <w:b w:val="false"/>
          <w:color w:val="000000"/>
          <w:sz w:val="22"/>
        </w:rPr>
        <w:t>, prepay Swingline Loans in an amount equal to the Swingline Lender’s Fronting Exposure and (B) </w:t>
      </w:r>
      <w:r>
        <w:rPr>
          <w:rFonts w:ascii="Times New Roman;serif" w:hAnsi="Times New Roman;serif"/>
          <w:b w:val="false"/>
          <w:i/>
          <w:color w:val="000000"/>
          <w:sz w:val="22"/>
          <w:u w:val="single"/>
        </w:rPr>
        <w:t>second</w:t>
      </w:r>
      <w:r>
        <w:rPr>
          <w:rFonts w:ascii="Times New Roman;serif" w:hAnsi="Times New Roman;serif"/>
          <w:b w:val="false"/>
          <w:color w:val="000000"/>
          <w:sz w:val="22"/>
        </w:rPr>
        <w:t xml:space="preserve">, Cash Collateralize the L/C Issuers’ Fronting Exposure in accordance with the procedures set forth in </w:t>
      </w:r>
      <w:r>
        <w:rPr>
          <w:rFonts w:ascii="Times New Roman;serif" w:hAnsi="Times New Roman;serif"/>
          <w:b w:val="false"/>
          <w:color w:val="000000"/>
          <w:sz w:val="22"/>
          <w:u w:val="single"/>
        </w:rPr>
        <w:t>Section 2.14</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Defaulting Lender Cure</w:t>
      </w:r>
      <w:r>
        <w:rPr>
          <w:rFonts w:ascii="Times New Roman;serif" w:hAnsi="Times New Roman;serif"/>
          <w:b w:val="false"/>
          <w:color w:val="000000"/>
          <w:sz w:val="22"/>
        </w:rPr>
        <w:t xml:space="preserve">. If the Borrowers, the Administrative Agent, the Swingline Lender and each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their Revolving Commitments (without giving effect to </w:t>
      </w:r>
      <w:r>
        <w:rPr>
          <w:rFonts w:ascii="Times New Roman;serif" w:hAnsi="Times New Roman;serif"/>
          <w:b w:val="false"/>
          <w:color w:val="000000"/>
          <w:sz w:val="22"/>
          <w:u w:val="single"/>
        </w:rPr>
        <w:t>Section 2.15(a)(iv</w:t>
      </w:r>
      <w:r>
        <w:rPr>
          <w:rFonts w:ascii="Times New Roman;serif" w:hAnsi="Times New Roman;serif"/>
          <w:b w:val="false"/>
          <w:color w:val="000000"/>
          <w:sz w:val="22"/>
        </w:rPr>
        <w:t xml:space="preserve">)), whereupon such Lender will cease to be a Defaulting Lender;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no adjustments will be made retroactively with respect to fees accrued or payments made by or on behalf of the Borrowers while that Lender was a Defaulting Lender; and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New Swingline Loans/Letters of Credit</w:t>
      </w:r>
      <w:r>
        <w:rPr>
          <w:rFonts w:ascii="Times New Roman;serif" w:hAnsi="Times New Roman;serif"/>
          <w:b w:val="false"/>
          <w:color w:val="000000"/>
          <w:sz w:val="22"/>
        </w:rPr>
        <w:t>. So long as any Revolving Lender is a Defaulting Lender, (i) no Swingline Lender shall be required to fund any Swingline Loans unless it is satisfied that it will have no Fronting Exposure after giving effect to such Swingline Loan and (ii) no L/C Issuer shall be required to issue, extend, increase, reinstate or renew any letter of Credit unless it is satisfied that it will have no Fronting Exposure after giving effect thereto.</w:t>
      </w:r>
    </w:p>
    <w:p>
      <w:pPr>
        <w:pStyle w:val="TextBody"/>
        <w:bidi w:val="0"/>
        <w:spacing w:lineRule="auto" w:line="240" w:before="0" w:after="240"/>
        <w:ind w:left="0" w:right="0" w:firstLine="720"/>
        <w:jc w:val="both"/>
        <w:rPr/>
      </w:pPr>
      <w:r>
        <w:rPr>
          <w:rFonts w:ascii="Times New Roman;serif" w:hAnsi="Times New Roman;serif"/>
          <w:b/>
          <w:color w:val="000000"/>
          <w:sz w:val="22"/>
        </w:rPr>
        <w:t>2.16</w:t>
      </w:r>
      <w:r>
        <w:rPr>
          <w:rFonts w:ascii="Times New Roman;serif" w:hAnsi="Times New Roman;serif"/>
          <w:b/>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2.17</w:t>
      </w:r>
      <w:r>
        <w:rPr>
          <w:rFonts w:ascii="Times New Roman;serif" w:hAnsi="Times New Roman;serif"/>
          <w:b/>
          <w:color w:val="000000"/>
          <w:sz w:val="22"/>
          <w:u w:val="single"/>
        </w:rPr>
        <w:t>Designated Lenders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Each of the Administrative Agent, each L/C Issuer, the Swingline Lender and each Lender at its option may make any Credit Extension or otherwise perform its obligations hereunder through any Lending Office (each, a “</w:t>
      </w:r>
      <w:r>
        <w:rPr>
          <w:rFonts w:ascii="Times New Roman;serif" w:hAnsi="Times New Roman;serif"/>
          <w:b w:val="false"/>
          <w:i/>
          <w:color w:val="000000"/>
          <w:sz w:val="22"/>
          <w:u w:val="single"/>
        </w:rPr>
        <w:t>Designated Lender</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any exercise of such option shall not affect the obligation of such Borrower to repay any Credit Extension in accordance with the terms of this Agreement. Any Designated Lender shall be considered a Lender;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designation of a Designated Lender is for administrative convenience only and does not expand the scope of liabilities or obligations of any Lender or Designated Lender beyond those of the Lender designating such Person as a Designated Lender as provided in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2.18</w:t>
      </w:r>
      <w:r>
        <w:rPr>
          <w:rFonts w:ascii="Times New Roman;serif" w:hAnsi="Times New Roman;serif"/>
          <w:b/>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2.19</w:t>
      </w:r>
      <w:r>
        <w:rPr>
          <w:rFonts w:ascii="Times New Roman;serif" w:hAnsi="Times New Roman;serif"/>
          <w:b/>
          <w:color w:val="000000"/>
          <w:sz w:val="22"/>
          <w:u w:val="single"/>
        </w:rPr>
        <w:t>Increase in Commitments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Borrower may by written notice to the Administrative Agent elect to request (x) prior to the Maturity Date for the Revolving Facility, an increase to the existing Revolving Commitments (each, an “</w:t>
      </w:r>
      <w:r>
        <w:rPr>
          <w:rFonts w:ascii="Times New Roman;serif" w:hAnsi="Times New Roman;serif"/>
          <w:b w:val="false"/>
          <w:i/>
          <w:color w:val="000000"/>
          <w:sz w:val="22"/>
          <w:u w:val="single"/>
        </w:rPr>
        <w:t>Incremental Revolving Commitment</w:t>
      </w:r>
      <w:r>
        <w:rPr>
          <w:color w:val="000000"/>
        </w:rPr>
        <w:t>”</w:t>
      </w:r>
      <w:r>
        <w:rPr>
          <w:rFonts w:ascii="Times New Roman;serif" w:hAnsi="Times New Roman;serif"/>
          <w:b w:val="false"/>
          <w:color w:val="000000"/>
          <w:sz w:val="22"/>
        </w:rPr>
        <w:t>) and/or (y) prior to the Maturity Date for the Term Facility, the establishment of one or more new term loan commitments or increase to the existing term loan commitments (each, an “</w:t>
      </w:r>
      <w:r>
        <w:rPr>
          <w:rFonts w:ascii="Times New Roman;serif" w:hAnsi="Times New Roman;serif"/>
          <w:b w:val="false"/>
          <w:i/>
          <w:color w:val="000000"/>
          <w:sz w:val="22"/>
          <w:u w:val="single"/>
        </w:rPr>
        <w:t>Incremental Term Commitment</w:t>
      </w:r>
      <w:r>
        <w:rPr>
          <w:color w:val="000000"/>
        </w:rPr>
        <w:t>”</w:t>
      </w:r>
      <w:r>
        <w:rPr>
          <w:rFonts w:ascii="Times New Roman;serif" w:hAnsi="Times New Roman;serif"/>
          <w:b w:val="false"/>
          <w:color w:val="000000"/>
          <w:sz w:val="22"/>
        </w:rPr>
        <w:t xml:space="preserve">), by an aggregate amount (for all such requests) not exceeding the greater of (A) $150,000,000 or (B) an amount equal to 100% of the Consolidated EBITDA of the Company and its Subsidiaries for the Measurement Period then most recently ended for which financial statements have been delivered pursuant to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(an “</w:t>
      </w:r>
      <w:r>
        <w:rPr>
          <w:rFonts w:ascii="Times New Roman;serif" w:hAnsi="Times New Roman;serif"/>
          <w:b w:val="false"/>
          <w:i/>
          <w:color w:val="000000"/>
          <w:sz w:val="22"/>
          <w:u w:val="single"/>
        </w:rPr>
        <w:t>Incremental Facility</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Borrowers may make a maximum of three (3) such requests. Each such notice shall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85445"/>
                <wp:effectExtent l="0" t="0" r="0" b="0"/>
                <wp:wrapNone/>
                <wp:docPr id="112" name="Frame1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specify (i) the date (each, an “</w:t>
      </w:r>
      <w:r>
        <w:rPr>
          <w:rFonts w:ascii="Times New Roman;serif" w:hAnsi="Times New Roman;serif"/>
          <w:b w:val="false"/>
          <w:i/>
          <w:color w:val="000000"/>
          <w:sz w:val="22"/>
          <w:u w:val="single"/>
        </w:rPr>
        <w:t>Increase Effective Date</w:t>
      </w:r>
      <w:r>
        <w:rPr>
          <w:color w:val="000000"/>
        </w:rPr>
        <w:t>”</w:t>
      </w:r>
      <w:r>
        <w:rPr>
          <w:rFonts w:ascii="Times New Roman;serif" w:hAnsi="Times New Roman;serif"/>
          <w:b w:val="false"/>
          <w:color w:val="000000"/>
          <w:sz w:val="22"/>
        </w:rPr>
        <w:t xml:space="preserve">) on which the Borrower proposes that the Incremental Commitments shall be effective, which shall be a date not less than ten (10) Business Days after the date on which such notice is delivered to the Administrative Agent and (ii) the identity of each Eligible Assignee to whom the Borrower proposes any portion of such Incremental Commitments be allocated and the amounts of such allocations;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existing Lender approached to provide all or a portion of the Incremental Commitments may elect or decline, in its sole discretion, to provide such Incremental Commitment. Each Incremental Commitment shall be in an aggregate amount of $25,000,000 or any whole multiple of $500,000 in excess thereof (provided that such amount may be less than $25,000,000 if such amount represents all remaining availability under the aggregate limit in respect of Incremental Commitments set forth in above).</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Conditions</w:t>
      </w:r>
      <w:r>
        <w:rPr>
          <w:rFonts w:ascii="Times New Roman;serif" w:hAnsi="Times New Roman;serif"/>
          <w:b w:val="false"/>
          <w:color w:val="000000"/>
          <w:sz w:val="22"/>
        </w:rPr>
        <w:t>. The Incremental Commitments shall become effective as of the Increase Effective Date; provided that: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(i)each of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shall be satisfied;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(ii)no Default shall have occurred and be continuing or would result from the borrowings to be made on the Increase Effective Date and the effectiveness of the Incremental Facility;</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(iii)the representations and warranties contained in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 xml:space="preserve">and the other Loan Documents are (i) with respect to representations and warranties that contain a materiality qualification, true and correct on and as of the Increase Effective Date and (ii) with respect to representations and warranties that do not contain a materiality qualification, true and correct in all material respects on and as of the Increase Effective Date, except to the extent that such representations and warranties specifically refer to an earlier date, in which case they shall (i) with respect to representations and warranties that contain a materiality qualification, have been true and correct as of such earlier date and (ii) with respect to representations and warranties that do not contain a materiality qualification, have been true and correct in all material respects as of such earlier date, and except that for purposes of this </w:t>
      </w:r>
      <w:r>
        <w:rPr>
          <w:rFonts w:ascii="Times New Roman;serif" w:hAnsi="Times New Roman;serif"/>
          <w:b w:val="false"/>
          <w:color w:val="000000"/>
          <w:sz w:val="22"/>
          <w:u w:val="single"/>
        </w:rPr>
        <w:t>Section 2.19(a)</w:t>
      </w:r>
      <w:r>
        <w:rPr>
          <w:rFonts w:ascii="Times New Roman;serif" w:hAnsi="Times New Roman;serif"/>
          <w:b w:val="false"/>
          <w:color w:val="000000"/>
          <w:sz w:val="22"/>
        </w:rPr>
        <w:t xml:space="preserve">, the representations and warranties contained in </w:t>
      </w:r>
      <w:r>
        <w:rPr>
          <w:rFonts w:ascii="Times New Roman;serif" w:hAnsi="Times New Roman;serif"/>
          <w:b w:val="false"/>
          <w:color w:val="000000"/>
          <w:sz w:val="22"/>
          <w:u w:val="single"/>
        </w:rPr>
        <w:t>Section 5.05(a)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5.05(b)</w:t>
      </w:r>
      <w:r>
        <w:rPr>
          <w:color w:val="000000"/>
        </w:rPr>
        <w:t xml:space="preserve"> </w:t>
      </w:r>
      <w:r>
        <w:rPr>
          <w:rFonts w:ascii="Times New Roman;serif" w:hAnsi="Times New Roman;serif"/>
          <w:b w:val="false"/>
          <w:color w:val="000000"/>
          <w:sz w:val="22"/>
        </w:rPr>
        <w:t xml:space="preserve">shall be deemed to refer to the most recent financial statements furnished pursuant to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respectively, of </w:t>
      </w:r>
      <w:r>
        <w:rPr>
          <w:rFonts w:ascii="Times New Roman;serif" w:hAnsi="Times New Roman;serif"/>
          <w:b w:val="false"/>
          <w:color w:val="000000"/>
          <w:sz w:val="22"/>
          <w:u w:val="single"/>
        </w:rPr>
        <w:t>Section 6.01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(iv)the Company shall make any breakage payments in connection with any adjustment of Revolving Loans pursuant to </w:t>
      </w:r>
      <w:r>
        <w:rPr>
          <w:rFonts w:ascii="Times New Roman;serif" w:hAnsi="Times New Roman;serif"/>
          <w:b w:val="false"/>
          <w:color w:val="000000"/>
          <w:sz w:val="22"/>
          <w:u w:val="single"/>
        </w:rPr>
        <w:t>Section 3.05</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(v)the Company shall deliver or cause to be delivered to the Administrative Agent (A) officer’s certificates and legal opinions of the type delivered on the Closing Date to the extent reasonably requested by, and in form and substance reasonably satisfactory to, the Administrative Agent and (B) a certificate of the Company (and each other Borrower in respect of an Incremental Revolving Commitment increase) dated as of the Increase Effective Date (in sufficient copies for each Lender) signed by a Responsible Officer of the Company (and each such other Borrower, as applicable) (1) certifying and attaching the resolutions adopted by the Company (or each such other Borrower, as applicable) approving or consenting to such Incremental Commitment and increase, and (2) certifying that, before and after giving effect to such Incremental Commitment and increase, each of the conditions set forth in this Section 2.19 have been satisfied;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(vi)upon the reasonable request of any Lender, (A) the Borrowers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and (B) any Loan Party that qualifies as a “legal entity customer” under the Beneficial Ownership Regulation shall have delivered, to each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85445"/>
                <wp:effectExtent l="0" t="0" r="0" b="0"/>
                <wp:wrapNone/>
                <wp:docPr id="113" name="Frame1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Lender that so requests, a Beneficial Ownership Certification in relation to such Loan Party; and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(vii)the Borrowers shall deliver or cause to be delivered any other customary documents (including, without limitation, legal opinions, any KYC information and such deliverables set forth in Section 4.01) as reasonably requested by the Administrative Agent in connection with any Incremental Facility.</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Terms of New Loans and Commitments</w:t>
      </w:r>
      <w:r>
        <w:rPr>
          <w:rFonts w:ascii="Times New Roman;serif" w:hAnsi="Times New Roman;serif"/>
          <w:b w:val="false"/>
          <w:color w:val="000000"/>
          <w:sz w:val="22"/>
        </w:rPr>
        <w:t>. Except as otherwise specifically set forth herein, all of the other terms, provisions and conditions applicable to any Incremental Facility shall be identical to the terms and conditions applicable to the Revolving Facility (in the case of an Incremental Revolving Commitment) or the Term Facility (in the case of an Incremental Term Commitment), as applicable, except that the Borrowers may increase the Applicable Rate for all Commitments (including both existing Commitments and the Incremental Facility) to an equivalent level in connection with any Incremental Facility without the consent of any Lender.</w:t>
      </w:r>
    </w:p>
    <w:p>
      <w:pPr>
        <w:pStyle w:val="TextBody"/>
        <w:bidi w:val="0"/>
        <w:spacing w:lineRule="auto" w:line="288" w:before="0" w:after="240"/>
        <w:jc w:val="both"/>
        <w:rPr/>
      </w:pPr>
      <w:r>
        <w:rPr>
          <w:rFonts w:ascii="Times New Roman;serif" w:hAnsi="Times New Roman;serif"/>
          <w:b w:val="false"/>
          <w:color w:val="000000"/>
          <w:sz w:val="22"/>
        </w:rPr>
        <w:t>The Incremental Commitments shall be effected by a joinder agreement (the “</w:t>
      </w:r>
      <w:r>
        <w:rPr>
          <w:rFonts w:ascii="Times New Roman;serif" w:hAnsi="Times New Roman;serif"/>
          <w:b w:val="false"/>
          <w:color w:val="000000"/>
          <w:sz w:val="22"/>
          <w:u w:val="single"/>
        </w:rPr>
        <w:t>Increase Joinder</w:t>
      </w:r>
      <w:r>
        <w:rPr>
          <w:color w:val="000000"/>
        </w:rPr>
        <w:t>”</w:t>
      </w:r>
      <w:r>
        <w:rPr>
          <w:rFonts w:ascii="Times New Roman;serif" w:hAnsi="Times New Roman;serif"/>
          <w:b w:val="false"/>
          <w:color w:val="000000"/>
          <w:sz w:val="22"/>
        </w:rPr>
        <w:t xml:space="preserve">) executed by the Company and the Borrowers, as applicable, the Administrative Agent and each Lender making such Incremental Commitment, in form and substance reasonably satisfactory to each of them. Notwithstanding the provisions of </w:t>
      </w:r>
      <w:r>
        <w:rPr>
          <w:rFonts w:ascii="Times New Roman;serif" w:hAnsi="Times New Roman;serif"/>
          <w:b w:val="false"/>
          <w:color w:val="000000"/>
          <w:sz w:val="22"/>
          <w:u w:val="single"/>
        </w:rPr>
        <w:t>Section 11.01</w:t>
      </w:r>
      <w:r>
        <w:rPr>
          <w:rFonts w:ascii="Times New Roman;serif" w:hAnsi="Times New Roman;serif"/>
          <w:b w:val="false"/>
          <w:color w:val="000000"/>
          <w:sz w:val="22"/>
        </w:rPr>
        <w:t xml:space="preserve">, the Increase Joinder may, without the consent of any other Lenders, effect such amendments to this Agreement and the other Loan Documents as may be necessary or appropriate, in the reasonable opinion of the Administrative Agent, to effect the provisions of this </w:t>
      </w:r>
      <w:r>
        <w:rPr>
          <w:rFonts w:ascii="Times New Roman;serif" w:hAnsi="Times New Roman;serif"/>
          <w:b w:val="false"/>
          <w:color w:val="000000"/>
          <w:sz w:val="22"/>
          <w:u w:val="single"/>
        </w:rPr>
        <w:t>Section 2.19</w:t>
      </w:r>
      <w:r>
        <w:rPr>
          <w:rFonts w:ascii="Times New Roman;serif" w:hAnsi="Times New Roman;serif"/>
          <w:b w:val="false"/>
          <w:color w:val="000000"/>
          <w:sz w:val="22"/>
        </w:rPr>
        <w:t xml:space="preserve">. In addition, unless otherwise specifically provided herein, all references in Loan Documents to Revolving Loans or Term Loans shall be deemed, unless the context otherwise requires, to include references to Revolving Loans made pursuant to Incremental Revolving Commitments and Incremental Term Loans that are Term Loans, respectively, made pursuant to this Agreement. This </w:t>
      </w:r>
      <w:r>
        <w:rPr>
          <w:rFonts w:ascii="Times New Roman;serif" w:hAnsi="Times New Roman;serif"/>
          <w:b w:val="false"/>
          <w:color w:val="000000"/>
          <w:sz w:val="22"/>
          <w:u w:val="single"/>
        </w:rPr>
        <w:t>Section 2.19</w:t>
      </w:r>
      <w:r>
        <w:rPr>
          <w:color w:val="000000"/>
        </w:rPr>
        <w:t xml:space="preserve"> </w:t>
      </w:r>
      <w:r>
        <w:rPr>
          <w:rFonts w:ascii="Times New Roman;serif" w:hAnsi="Times New Roman;serif"/>
          <w:b w:val="false"/>
          <w:color w:val="000000"/>
          <w:sz w:val="22"/>
        </w:rPr>
        <w:t xml:space="preserve">shall supersede any provisions in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11.01</w:t>
      </w:r>
      <w:r>
        <w:rPr>
          <w:color w:val="000000"/>
        </w:rPr>
        <w:t xml:space="preserve"> </w:t>
      </w:r>
      <w:r>
        <w:rPr>
          <w:rFonts w:ascii="Times New Roman;serif" w:hAnsi="Times New Roman;serif"/>
          <w:b w:val="false"/>
          <w:color w:val="000000"/>
          <w:sz w:val="22"/>
        </w:rPr>
        <w:t>to the contrary.</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Adjustment of Revolving Credit Loans</w:t>
      </w:r>
      <w:r>
        <w:rPr>
          <w:rFonts w:ascii="Times New Roman;serif" w:hAnsi="Times New Roman;serif"/>
          <w:b w:val="false"/>
          <w:color w:val="000000"/>
          <w:sz w:val="22"/>
        </w:rPr>
        <w:t xml:space="preserve">. To the extent the Commitments being increased on the relevant Increase Effective Date are Incremental Revolving Commitments, then each Revolving Lender that is acquiring an Incremental Revolving Commitment on the Increase Effective Date shall make a Revolving Loan, the proceeds of which will be used to prepay the Revolving Loans of the other Revolving Lenders immediately prior to such Increase Effective Date, so that, after giving effect thereto, the Revolving Loans outstanding are held by the Revolving Lenders pro rata based on their Revolving Commitments after giving effect to such Increase Effective Date. If there is a new borrowing of Revolving Loans on such Increase Effective Date, the Revolving Lenders after giving effect to such Increase Effective Date shall make such Revolving Loans in accordance with </w:t>
      </w:r>
      <w:r>
        <w:rPr>
          <w:rFonts w:ascii="Times New Roman;serif" w:hAnsi="Times New Roman;serif"/>
          <w:b w:val="false"/>
          <w:color w:val="000000"/>
          <w:sz w:val="22"/>
          <w:u w:val="single"/>
        </w:rPr>
        <w:t>Section 2.01(b)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Making of New Term Loans</w:t>
      </w:r>
      <w:r>
        <w:rPr>
          <w:rFonts w:ascii="Times New Roman;serif" w:hAnsi="Times New Roman;serif"/>
          <w:b w:val="false"/>
          <w:color w:val="000000"/>
          <w:sz w:val="22"/>
        </w:rPr>
        <w:t>. On any Increase Effective Date on which new Commitments for Term Loans are effective, subject to the satisfaction of the foregoing terms and conditions, each Lender of such new Commitment shall make a Term Loan to the Company in an amount equal to its new Commitment.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Equal and Ratable Benefit.</w:t>
      </w:r>
      <w:r>
        <w:rPr>
          <w:color w:val="000000"/>
        </w:rPr>
        <w:t xml:space="preserve"> </w:t>
      </w:r>
      <w:r>
        <w:rPr>
          <w:rFonts w:ascii="Times New Roman;serif" w:hAnsi="Times New Roman;serif"/>
          <w:b w:val="false"/>
          <w:color w:val="000000"/>
          <w:sz w:val="22"/>
        </w:rPr>
        <w:t xml:space="preserve">The Loans and Commitments established pursuant to this </w:t>
      </w:r>
      <w:r>
        <w:rPr>
          <w:rFonts w:ascii="Times New Roman;serif" w:hAnsi="Times New Roman;serif"/>
          <w:b w:val="false"/>
          <w:color w:val="000000"/>
          <w:sz w:val="22"/>
          <w:u w:val="single"/>
        </w:rPr>
        <w:t>Section 2.19</w:t>
      </w:r>
      <w:r>
        <w:rPr>
          <w:color w:val="000000"/>
        </w:rPr>
        <w:t xml:space="preserve"> </w:t>
      </w:r>
      <w:r>
        <w:rPr>
          <w:rFonts w:ascii="Times New Roman;serif" w:hAnsi="Times New Roman;serif"/>
          <w:b w:val="false"/>
          <w:color w:val="000000"/>
          <w:sz w:val="22"/>
        </w:rPr>
        <w:t xml:space="preserve">shall constitute Loans and Commitments under, and shall be entitled to all the benefits afforded by, this Agreement and the other Loan Documents, and shall, without limiting the foregoing, benefit equally and ratably from the Guarantees.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85445"/>
                <wp:effectExtent l="0" t="0" r="0" b="0"/>
                <wp:wrapNone/>
                <wp:docPr id="114" name="Frame1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2"/>
        </w:rPr>
        <w:t>Article III</w:t>
      </w:r>
      <w:r>
        <w:rPr>
          <w:rFonts w:ascii="Times New Roman;serif" w:hAnsi="Times New Roman;serif"/>
          <w:b/>
          <w:color w:val="000000"/>
          <w:sz w:val="22"/>
        </w:rPr>
        <w:br/>
        <w:br/>
        <w:t>TAXES, YIELD PROTECTION AND ILLEGALITY</w:t>
      </w:r>
    </w:p>
    <w:p>
      <w:pPr>
        <w:pStyle w:val="TextBody"/>
        <w:bidi w:val="0"/>
        <w:spacing w:lineRule="auto" w:line="240" w:before="0" w:after="240"/>
        <w:ind w:left="0" w:right="0" w:firstLine="720"/>
        <w:jc w:val="both"/>
        <w:rPr/>
      </w:pPr>
      <w:r>
        <w:rPr>
          <w:rFonts w:ascii="Times New Roman;serif" w:hAnsi="Times New Roman;serif"/>
          <w:b/>
          <w:color w:val="000000"/>
          <w:sz w:val="22"/>
        </w:rPr>
        <w:t>3.01</w:t>
      </w:r>
      <w:r>
        <w:rPr>
          <w:rFonts w:ascii="Times New Roman;serif" w:hAnsi="Times New Roman;serif"/>
          <w:b/>
          <w:color w:val="000000"/>
          <w:sz w:val="22"/>
          <w:u w:val="single"/>
        </w:rPr>
        <w:t>Taxes</w:t>
      </w:r>
      <w:r>
        <w:rPr>
          <w:rFonts w:ascii="Times New Roman;serif" w:hAnsi="Times New Roman;serif"/>
          <w:b/>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Defined Terms</w:t>
      </w:r>
      <w:r>
        <w:rPr>
          <w:rFonts w:ascii="Times New Roman;serif" w:hAnsi="Times New Roman;serif"/>
          <w:b w:val="false"/>
          <w:color w:val="000000"/>
          <w:sz w:val="22"/>
        </w:rPr>
        <w:t xml:space="preserve">. For purposes of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the term “Applicable Law” includes FATCA and the term “Lender” includes any L/C Issuer.</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Payments Free of Taxes; Obligation to Withhold; Payments on Account of Taxes</w:t>
      </w:r>
      <w:r>
        <w:rPr>
          <w:rFonts w:ascii="Times New Roman;serif" w:hAnsi="Times New Roman;serif"/>
          <w:b w:val="false"/>
          <w:color w:val="000000"/>
          <w:sz w:val="22"/>
        </w:rPr>
        <w:t xml:space="preserve">. Any and all payments by or on account of any obligation of any Loan Party under any Loan Document shall be made without deduction or withholding for any Taxes, except as required by Applicable Laws. If any Applicable Laws (as determined in the good faith discretion of an applicable Withholding Agent) require the deduction or withholding of any Tax from any such payment by the applicable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any required deduction or withholding has been made (including such deductions and withholdings applicable to additional amounts payable under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the applicable Recipient receives an amount equal to the sum it would have received had no such withholdings or deductions been made.</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Payment of Other Taxes by the Loan Parties</w:t>
      </w:r>
      <w:r>
        <w:rPr>
          <w:rFonts w:ascii="Times New Roman;serif" w:hAnsi="Times New Roman;serif"/>
          <w:b w:val="false"/>
          <w:color w:val="000000"/>
          <w:sz w:val="22"/>
        </w:rPr>
        <w:t>. The Loan Parties shall timely pay to the relevant Governmental Authority in accordance with Applicable Law, or at the option of the Administrative Agent timely reimburse it for the payment of, any Other Taxes.</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Tax Indemnifications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(i)The Loan Parties shall indemnify each Recipient, within ten (10) days after demand therefor, for the full amount of any Indemnified Taxes (including Indemnified Taxes imposed or asserted on or attributable to amounts payable under </w:t>
      </w:r>
      <w:r>
        <w:rPr>
          <w:rFonts w:ascii="Times New Roman;serif" w:hAnsi="Times New Roman;serif"/>
          <w:b w:val="false"/>
          <w:color w:val="000000"/>
          <w:sz w:val="22"/>
          <w:u w:val="single"/>
        </w:rPr>
        <w:t>Section 3.01(b)</w:t>
      </w:r>
      <w:r>
        <w:rPr>
          <w:color w:val="000000"/>
        </w:rPr>
        <w:t xml:space="preserve"> </w:t>
      </w:r>
      <w:r>
        <w:rPr>
          <w:rFonts w:ascii="Times New Roman;serif" w:hAnsi="Times New Roman;serif"/>
          <w:b w:val="false"/>
          <w:color w:val="000000"/>
          <w:sz w:val="22"/>
        </w:rPr>
        <w:t xml:space="preserve">or this </w:t>
      </w:r>
      <w:r>
        <w:rPr>
          <w:rFonts w:ascii="Times New Roman;serif" w:hAnsi="Times New Roman;serif"/>
          <w:b w:val="false"/>
          <w:color w:val="000000"/>
          <w:sz w:val="22"/>
          <w:u w:val="single"/>
        </w:rPr>
        <w:t>Section 3.01(d)</w:t>
      </w:r>
      <w:r>
        <w:rPr>
          <w:rFonts w:ascii="Times New Roman;serif" w:hAnsi="Times New Roman;serif"/>
          <w:b w:val="false"/>
          <w:color w:val="000000"/>
          <w:sz w:val="22"/>
        </w:rPr>
        <w:t xml:space="preserve">) payable or paid by such Recipient or required to be withheld or deducted from a payment to such Recipient, and reasonable expenses arising therefrom or with respect thereto, whether or not such Indemnified Taxes were correctly or legally imposed or asserted by the relevant Governmental Authority. If a Loan Party reasonably believes that any such Indemnified Taxes were not correctly or legally imposed or asserted, then at the Loan Party’s request the Administrative Agent and/or each affected Recipient will use reasonable efforts to cooperate with the applicable Loan Party in pursuing a refund of such Indemnified Taxes so long as such efforts would not, in the sole determination exercised in good faith of the Administrative Agent or the affected Recipient, result in any unreimbursed additional costs, expenses or risks or be otherwise disadvantageous to it. A certificate as to the amount of such payment or liability delivered to the applicable Loan Party by a Recipient (with a copy to the Administrative Agent), or by the Administrative Agent on its own behalf or on behalf of a Recipient, shall be conclusive absent manifest error. Each of the Loan Parties shall also indemnify the Administrative Agent, and shall make payment in respect thereof within ten (10) days after demand therefor, for any amount which a Lender for any reason fails to pay indefeasibly to the Administrative Agent as required pursuant to </w:t>
      </w:r>
      <w:r>
        <w:rPr>
          <w:rFonts w:ascii="Times New Roman;serif" w:hAnsi="Times New Roman;serif"/>
          <w:b w:val="false"/>
          <w:color w:val="000000"/>
          <w:sz w:val="22"/>
          <w:u w:val="single"/>
        </w:rPr>
        <w:t>Section 3.01(d)(ii</w:t>
      </w:r>
      <w:r>
        <w:rPr>
          <w:rFonts w:ascii="Times New Roman;serif" w:hAnsi="Times New Roman;serif"/>
          <w:b w:val="false"/>
          <w:color w:val="000000"/>
          <w:sz w:val="22"/>
        </w:rPr>
        <w:t>) below.</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(ii)Each Lender shall, and does hereby, severally indemnify and shall make payment in respect thereof within ten (10) days after demand therefor, (A) the Administrative Agent against any Indemnified Taxes attributable to such Lender (but only to the extent that any Loan Party has not already indemnified the Administrative Agent for such Indemnified Taxes and without limiting the obligation of the Loan Parties to do so), (B) the Administrative Agent and the Loan Parties, as applicable, against any Taxes attributable to such Lender’s failure to comply with the provisions of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85445"/>
                <wp:effectExtent l="0" t="0" r="0" b="0"/>
                <wp:wrapNone/>
                <wp:docPr id="115" name="Frame1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u w:val="single"/>
        </w:rPr>
        <w:t>Section 11.06(d</w:t>
      </w:r>
      <w:r>
        <w:rPr>
          <w:rFonts w:ascii="Times New Roman;serif" w:hAnsi="Times New Roman;serif"/>
          <w:b w:val="false"/>
          <w:color w:val="000000"/>
          <w:sz w:val="22"/>
        </w:rPr>
        <w:t xml:space="preserve">) relating to the maintenance of a Participant Register and (C) the Administrative Agent and the Loan Parties, as applicable, against any Excluded Taxes attributable to such Lender,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serif" w:hAnsi="Times New Roman;serif"/>
          <w:b w:val="false"/>
          <w:color w:val="000000"/>
          <w:sz w:val="22"/>
          <w:u w:val="single"/>
        </w:rPr>
        <w:t>Section 3.01(d)(ii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Evidence of Payments</w:t>
      </w:r>
      <w:r>
        <w:rPr>
          <w:rFonts w:ascii="Times New Roman;serif" w:hAnsi="Times New Roman;serif"/>
          <w:b w:val="false"/>
          <w:color w:val="000000"/>
          <w:sz w:val="22"/>
        </w:rPr>
        <w:t xml:space="preserve">. As soon as practicable after any payment of Taxes by any Loan Party to a Governmental Authority, as provided in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the applicable Loan Party shall deliver to the Administrative Agent the original or a certified copy of a receipt issued by such Governmental Authority evidencing such payment, a copy of any return reporting such payment or other evidence of such payment reasonably satisfactory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Status of Recipients; Tax Documentation</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(i)Any Recipient that is entitled to an exemption from or reduction of withholding Tax with respect to payments made under any Loan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Recipient,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Recipient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erif" w:hAnsi="Times New Roman;serif"/>
          <w:b w:val="false"/>
          <w:color w:val="000000"/>
          <w:sz w:val="22"/>
          <w:u w:val="single"/>
        </w:rPr>
        <w:t>Section 3.01(f)(ii)(A</w:t>
      </w:r>
      <w:r>
        <w:rPr>
          <w:rFonts w:ascii="Times New Roman;serif" w:hAnsi="Times New Roman;serif"/>
          <w:b w:val="false"/>
          <w:color w:val="000000"/>
          <w:sz w:val="22"/>
        </w:rPr>
        <w:t>), (</w:t>
      </w:r>
      <w:r>
        <w:rPr>
          <w:rFonts w:ascii="Times New Roman;serif" w:hAnsi="Times New Roman;serif"/>
          <w:b w:val="false"/>
          <w:color w:val="000000"/>
          <w:sz w:val="22"/>
          <w:u w:val="single"/>
        </w:rPr>
        <w:t>ii)(B</w:t>
      </w:r>
      <w:r>
        <w:rPr>
          <w:rFonts w:ascii="Times New Roman;serif" w:hAnsi="Times New Roman;serif"/>
          <w:b w:val="false"/>
          <w:color w:val="000000"/>
          <w:sz w:val="22"/>
        </w:rPr>
        <w:t>) and (</w:t>
      </w:r>
      <w:r>
        <w:rPr>
          <w:rFonts w:ascii="Times New Roman;serif" w:hAnsi="Times New Roman;serif"/>
          <w:b w:val="false"/>
          <w:color w:val="000000"/>
          <w:sz w:val="22"/>
          <w:u w:val="single"/>
        </w:rPr>
        <w:t>ii)(D</w:t>
      </w:r>
      <w:r>
        <w:rPr>
          <w:rFonts w:ascii="Times New Roman;serif" w:hAnsi="Times New Roman;serif"/>
          <w:b w:val="false"/>
          <w:color w:val="000000"/>
          <w:sz w:val="22"/>
        </w:rPr>
        <w:t>) below) shall not be required if in the Recipient’s reasonable judgment such completion, execution or submission would subject such Recipient to any material unreimbursed cost or expense or would materially prejudice the legal or commercial position of such Recipient.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(ii)Without limiting the generality of the foregoing, in the event that any Borrower is a U.S. Person,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(A)any Recipient that is a U.S. Person shall deliver to the applicable Borrower and the Administrative Agent on or prior to the date on which such Recipient becomes a Recipient under this Agreement (and from time to time thereafter upon the reasonable request of such Borrower or the Administrative Agent), executed copies of IRS Form W–9 (or successor form) certifying that such Recipient is exempt from U.S. federal backup withholding Tax;</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(B)any Foreign Recipient shall, to the extent it is legally entitled to do so, deliver to the applicable Borrower and the Administrative Agent (in such number of copies as shall be requested by the recipient) on or prior to the date on which such Foreign Recipient becomes a Recipient under this Agreement (and from time to time thereafter upon the reasonable request of such Borrower or the Administrative Agent), whichever of the following is applicable: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(1)in the case of a Foreign Recipient claiming the benefits of an income tax treaty to which the United States is a party (x) with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85445"/>
                <wp:effectExtent l="0" t="0" r="0" b="0"/>
                <wp:wrapNone/>
                <wp:docPr id="116" name="Frame1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respect to payments of interest under any Loan Document, executed copies of IRS Form W–8BEN–E (or W–8BEN, as applicable) (or successor forms) establishing an exemption from, or reduction of, U.S. federal withholding Tax pursuant to the “interest” article of such tax treaty and (y) with respect to any other applicable payments under any Loan Document, IRS Form W–8BEN–E (or W–8BEN, as applicable) (or successor forms) establishing an exemption from, or reduction of, U.S. federal withholding Tax pursuant to the “business profits” or “other income” article of such tax treaty;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(2)executed copies of IRS Form W–8ECI (or successor forms);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(3)in the case of a Foreign Recipient claiming the benefits of the exemption for portfolio interest under Section 881(c) of the Code, (x) a certificate substantially in the form of </w:t>
      </w:r>
      <w:r>
        <w:rPr>
          <w:rFonts w:ascii="Times New Roman;serif" w:hAnsi="Times New Roman;serif"/>
          <w:b w:val="false"/>
          <w:color w:val="000000"/>
          <w:sz w:val="22"/>
          <w:u w:val="single"/>
        </w:rPr>
        <w:t>Exhibit L–1</w:t>
      </w:r>
      <w:r>
        <w:rPr>
          <w:color w:val="000000"/>
        </w:rPr>
        <w:t xml:space="preserve"> </w:t>
      </w:r>
      <w:r>
        <w:rPr>
          <w:rFonts w:ascii="Times New Roman;serif" w:hAnsi="Times New Roman;serif"/>
          <w:b w:val="false"/>
          <w:color w:val="000000"/>
          <w:sz w:val="22"/>
        </w:rPr>
        <w:t>to the effect that such Foreign Recipient is not a “bank” within the meaning of Section 881(c)(3)(A) of the Code, a “10 percent shareholder” of such Borrower within the meaning of Section 881(c)(3)(B) of the Code, or a “controlled foreign corporation” described in Section 881(c)(3)(C) of the Code (a “</w:t>
      </w:r>
      <w:r>
        <w:rPr>
          <w:rFonts w:ascii="Times New Roman;serif" w:hAnsi="Times New Roman;serif"/>
          <w:b w:val="false"/>
          <w:i/>
          <w:color w:val="000000"/>
          <w:sz w:val="22"/>
          <w:u w:val="single"/>
        </w:rPr>
        <w:t>U</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S</w:t>
      </w:r>
      <w:r>
        <w:rPr>
          <w:rFonts w:ascii="Times New Roman;serif" w:hAnsi="Times New Roman;serif"/>
          <w:b w:val="false"/>
          <w:color w:val="000000"/>
          <w:sz w:val="22"/>
          <w:u w:val="single"/>
        </w:rPr>
        <w:t xml:space="preserve">. </w:t>
      </w:r>
      <w:r>
        <w:rPr>
          <w:rFonts w:ascii="Times New Roman;serif" w:hAnsi="Times New Roman;serif"/>
          <w:b w:val="false"/>
          <w:i/>
          <w:color w:val="000000"/>
          <w:sz w:val="22"/>
          <w:u w:val="single"/>
        </w:rPr>
        <w:t>Tax Compliance Certificate</w:t>
      </w:r>
      <w:r>
        <w:rPr>
          <w:color w:val="000000"/>
        </w:rPr>
        <w:t>”</w:t>
      </w:r>
      <w:r>
        <w:rPr>
          <w:rFonts w:ascii="Times New Roman;serif" w:hAnsi="Times New Roman;serif"/>
          <w:b w:val="false"/>
          <w:color w:val="000000"/>
          <w:sz w:val="22"/>
        </w:rPr>
        <w:t>) and (y) executed copies of IRS Form W–8BEN–E (or W–8BEN, as applicable) (or successor forms);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(4)to the extent a Foreign Recipient is not the beneficial owner, executed copies of IRS Form W–8IMY (or successor form), accompanied by IRS Form W–8ECI, IRS Form W–8BEN–E (or W–8BEN, as applicable) (or successor forms), a U.S. Tax Compliance Certificate substantially in the form of </w:t>
      </w:r>
      <w:r>
        <w:rPr>
          <w:rFonts w:ascii="Times New Roman;serif" w:hAnsi="Times New Roman;serif"/>
          <w:b w:val="false"/>
          <w:color w:val="000000"/>
          <w:sz w:val="22"/>
          <w:u w:val="single"/>
        </w:rPr>
        <w:t>Exhibit L–2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Exhibit L–3</w:t>
      </w:r>
      <w:r>
        <w:rPr>
          <w:rFonts w:ascii="Times New Roman;serif" w:hAnsi="Times New Roman;serif"/>
          <w:b w:val="false"/>
          <w:color w:val="000000"/>
          <w:sz w:val="22"/>
        </w:rPr>
        <w:t xml:space="preserve">, IRS Form W–9 (or successor form), and/or other certification documents from each beneficial owner, as applicable;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Foreign Recipient is a partnership and one or more direct or indirect partners of such Foreign Recipient are claiming the portfolio interest exemption, such Foreign Recipient may provide a U.S. Tax Compliance Certificate substantially in the form of </w:t>
      </w:r>
      <w:r>
        <w:rPr>
          <w:rFonts w:ascii="Times New Roman;serif" w:hAnsi="Times New Roman;serif"/>
          <w:b w:val="false"/>
          <w:color w:val="000000"/>
          <w:sz w:val="22"/>
          <w:u w:val="single"/>
        </w:rPr>
        <w:t>Exhibit L–4</w:t>
      </w:r>
      <w:r>
        <w:rPr>
          <w:color w:val="000000"/>
        </w:rPr>
        <w:t xml:space="preserve"> </w:t>
      </w:r>
      <w:r>
        <w:rPr>
          <w:rFonts w:ascii="Times New Roman;serif" w:hAnsi="Times New Roman;serif"/>
          <w:b w:val="false"/>
          <w:color w:val="000000"/>
          <w:sz w:val="22"/>
        </w:rPr>
        <w:t>on behalf of each such direct and indirect partner;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(C)any Foreign Recipient shall, to the extent it is legally entitled to do so, deliver to the applicable Borrower and the Administrative Agent (in such number of copies as shall be requested by the recipient) on or prior to the date on which such Foreign Recipient becomes a Recipient under this Agreement (and from time to time thereafter upon the reasonable request of such Borrower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applicable Borrower or the Administrative Agent to determine the withholding or deduction required to be made;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(D)if a payment made to a Recipient under any Loan Document would be subject to a FATCA Deduction if such Recipient were to fail to comply with the applicable reporting requirements of FATCA (including those contained in Section 1471(b) or 1472(b) of the Code, as applicable), such Recipient shall deliver to the applicable Borrower and the Administrative Agent at the time or times prescribed by law and at such time or times reasonably requested by such Borrower or the Administrative Agent such documentation prescribed by Applicable Law (including as prescribed by Section 1471(b)(3)(C)(i) of the Code) and such additional documentation reasonably requested by such Borrower or the Administrative Agent as may be necessary for such Borrower or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85445"/>
                <wp:effectExtent l="0" t="0" r="0" b="0"/>
                <wp:wrapNone/>
                <wp:docPr id="117" name="Frame1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the Administrative Agent to comply with their obligations under FATCA and to determine that such Recipient has complied with such Recipient’s obligations under FATCA or to determine the amount, if any, to deduct and withhold from such payment. Solely for the purposes of this </w:t>
      </w:r>
      <w:r>
        <w:rPr>
          <w:rFonts w:ascii="Times New Roman;serif" w:hAnsi="Times New Roman;serif"/>
          <w:b w:val="false"/>
          <w:color w:val="000000"/>
          <w:sz w:val="22"/>
          <w:u w:val="single"/>
        </w:rPr>
        <w:t>clause (f)(ii)(D</w:t>
      </w:r>
      <w:r>
        <w:rPr>
          <w:rFonts w:ascii="Times New Roman;serif" w:hAnsi="Times New Roman;serif"/>
          <w:b w:val="false"/>
          <w:color w:val="000000"/>
          <w:sz w:val="22"/>
        </w:rPr>
        <w:t>), “FATCA” shall include any amendments made to FATCA after the date of this Agreement;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(E)Without limiting the generality of the foregoing, each Lender that becomes a party to this Agreement after the date of this Agreement shall indicate to the UK Loan Parties, in the Assignment and Assumption or other documentation which it executes on becoming a party as a Lender, and for the benefit of the Administrative Agent and without liability to any Obligated Party, which of the following categories it falls in: (a) not a Qualifying Lender; (b) a Qualifying Lender (other than a Treaty Lender); or (c) a Treaty Lender.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a Lender fails to indicate its status in accordance with this paragraph (E) then such Lender shall be treated by the UK Loan Parties for the purposes of this Agreement as if it is not a Qualifying Lender until such time as it notifies the Administrative Agent which category applies (and the Administrative Agent, upon receipt of such notification, shall inform the UK Loan Parties). For the avoidance of doubt, an Assignment and Assumption or other such agreement shall not be invalidated by any failure of a Lender to comply with this paragraph (E).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(F)A Treaty Lender which is an Original Lender that holds a passport under the United Kingdom HMRC DT Treaty Passport scheme, and which wishes that scheme to apply to this Agreement, shall confirm its scheme reference number and its jurisdiction of tax residence to the UK Loan Parties; and a New Lender that is a Treaty Lender and that holds a passport under the United Kingdom HMRC DT Treaty Passport scheme, and which wishes that scheme to apply to this Agreement, shall confirm its scheme reference number and its jurisdiction of tax residence in the Assignment and Assumption or other documentation which it executes on becoming a party as a Lender.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(G)[reserved].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(H)If a Lender has confirmed its scheme reference number and its jurisdiction of tax residence in accordance with paragraph (F) above and: (A) a UK Loan Party making a payment to that Lender has not made a Borrower DTTP Filing in respect of that Lender; or (B) a UK Loan Party making a payment to that Lender has made a Borrower DTTP Filing in respect of that Lender but: (1) that Borrower DTTP Filing has been rejected by United Kingdom HM Revenue &amp; Customs; (2) United Kingdom HM Revenue &amp; Customs has not given the UK Loan Party authority to make payments to that Lender without a Tax Deduction within 60 days of the date of the Borrower DTTP Filing; or (3) United Kingdom HM Revenue &amp; Customs has given the UK Loan Party authority to make payments to such Treaty Lender without a Tax Deduction, but such authority has subsequently been revoked or expired,</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and in each case, the UK Loan Party has notified that Lender in writing, then that Lender and the UK Loan Party shall co-operate in completing any additional procedural formalities necessary for that UK Loan Party to obtain authorization to make that payment without a Tax Deduction.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(I)If a Lender has not confirmed its scheme reference number and jurisdiction of tax residence in accordance with paragraph (F) above, no UK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85445"/>
                <wp:effectExtent l="0" t="0" r="0" b="0"/>
                <wp:wrapNone/>
                <wp:docPr id="118" name="Frame1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Loan Party shall make a Borrower DTTP Filing or file any other form relating to the United Kingdom HMRC DT Treaty Passport scheme in respect of that Lender’s Commitment or its participation in any Loan unless the Lender otherwise agrees.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(J)A UK Loan Party shall, promptly on making a Borrower DTTP Filing, deliver a copy of that Borrower DTTP Filing to the Administrative Agent for delivery to the relevant Lender.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(iii)Each Treaty Lender shall notify the UK Loan Parties or the Administrative Agent if it determines that it ceases to be entitled to claim the benefits of a Treaty with respect to payments made by any UK Loan Party hereunder.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(iv)Each Recipient agrees that if any form or certification it previously delivered pursuant to this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expires or becomes obsolete or inaccurate in any respect, it shall update such form or certification or promptly notify the applicable Borrower and the Administrative Agent in writing of its legal inability to do so.</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Treatment of Certain Refunds</w:t>
      </w:r>
      <w:r>
        <w:rPr>
          <w:rFonts w:ascii="Times New Roman;serif" w:hAnsi="Times New Roman;serif"/>
          <w:b w:val="false"/>
          <w:color w:val="000000"/>
          <w:sz w:val="22"/>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other than as provided in this </w:t>
      </w:r>
      <w:r>
        <w:rPr>
          <w:rFonts w:ascii="Times New Roman;serif" w:hAnsi="Times New Roman;serif"/>
          <w:b w:val="false"/>
          <w:color w:val="000000"/>
          <w:sz w:val="22"/>
          <w:u w:val="single"/>
        </w:rPr>
        <w:t>Section 3.01(g)</w:t>
      </w:r>
      <w:r>
        <w:rPr>
          <w:rFonts w:ascii="Times New Roman;serif" w:hAnsi="Times New Roman;serif"/>
          <w:b w:val="false"/>
          <w:color w:val="000000"/>
          <w:sz w:val="22"/>
        </w:rPr>
        <w:t xml:space="preserve">. If any Recipient determines, in its sole discretion exercised in good faith, that it has received a refund of any Taxes or a credit against current cash Taxes otherwise due and payable in lieu of such a refund as to which it has been indemnified by any Loan Party (including by payment of additional amounts pursuant to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it shall pay to such Loan Party an amount equal to such refund or credit (but only to the extent of indemnity payments made, or additional amounts paid, under this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with respect to the Indemnified Taxes giving rise to such refund or credit), net of all out-of-pocket expenses (including Taxes) incurred by such Recipient, and without interest (other than any interest paid by the relevant Governmental Authority with respect to such refund), provided that each Loan Party, upon the request of the Recipient, agrees to repay the amount paid over to such Loan Party pursuant to this </w:t>
      </w:r>
      <w:r>
        <w:rPr>
          <w:rFonts w:ascii="Times New Roman;serif" w:hAnsi="Times New Roman;serif"/>
          <w:b w:val="false"/>
          <w:color w:val="000000"/>
          <w:sz w:val="22"/>
          <w:u w:val="single"/>
        </w:rPr>
        <w:t>Section 3.01(g)</w:t>
      </w:r>
      <w:r>
        <w:rPr>
          <w:color w:val="000000"/>
        </w:rPr>
        <w:t xml:space="preserve"> </w:t>
      </w:r>
      <w:r>
        <w:rPr>
          <w:rFonts w:ascii="Times New Roman;serif" w:hAnsi="Times New Roman;serif"/>
          <w:b w:val="false"/>
          <w:color w:val="000000"/>
          <w:sz w:val="22"/>
        </w:rPr>
        <w:t xml:space="preserve">(plus any penalties, interest or other charges imposed by the relevant Governmental Authority) to the Recipient in the event the Recipient is required to repay such refund (or any Taxes to which a credit was previously applied) to such Governmental Authority. Notwithstanding anything to the contrary in this </w:t>
      </w:r>
      <w:r>
        <w:rPr>
          <w:rFonts w:ascii="Times New Roman;serif" w:hAnsi="Times New Roman;serif"/>
          <w:b w:val="false"/>
          <w:color w:val="000000"/>
          <w:sz w:val="22"/>
          <w:u w:val="single"/>
        </w:rPr>
        <w:t>Section 3.01(g</w:t>
      </w:r>
      <w:r>
        <w:rPr>
          <w:rFonts w:ascii="Times New Roman;serif" w:hAnsi="Times New Roman;serif"/>
          <w:b w:val="false"/>
          <w:color w:val="000000"/>
          <w:sz w:val="22"/>
        </w:rPr>
        <w:t xml:space="preserve">), in no event will the applicable Recipient be required to pay any amount to a Loan Party pursuant to this </w:t>
      </w:r>
      <w:r>
        <w:rPr>
          <w:rFonts w:ascii="Times New Roman;serif" w:hAnsi="Times New Roman;serif"/>
          <w:b w:val="false"/>
          <w:color w:val="000000"/>
          <w:sz w:val="22"/>
          <w:u w:val="single"/>
        </w:rPr>
        <w:t>Section 3.01(g</w:t>
      </w:r>
      <w:r>
        <w:rPr>
          <w:rFonts w:ascii="Times New Roman;serif" w:hAnsi="Times New Roman;serif"/>
          <w:b w:val="false"/>
          <w:color w:val="000000"/>
          <w:sz w:val="22"/>
        </w:rPr>
        <w:t xml:space="preserve">)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serif" w:hAnsi="Times New Roman;serif"/>
          <w:b w:val="false"/>
          <w:color w:val="000000"/>
          <w:sz w:val="22"/>
          <w:u w:val="single"/>
        </w:rPr>
        <w:t>Section 3.01(g</w:t>
      </w:r>
      <w:r>
        <w:rPr>
          <w:rFonts w:ascii="Times New Roman;serif" w:hAnsi="Times New Roman;serif"/>
          <w:b w:val="false"/>
          <w:color w:val="000000"/>
          <w:sz w:val="22"/>
        </w:rPr>
        <w:t>) shall not be construed to require any Recipient to make available its tax returns (or any other information relating to its Taxes that it deems confidential) to any Loan Party or any other Person.</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Each party’s obligations under this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shall survive the resignation or replacement of the Administrative Agent or any assignment of rights by, or the replacement of, a Lender, the termination of the Commitments and the repayment, satisfaction or discharge of all other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VAT</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(i)All amounts expressed to be payable under a Loan Document by any Loan Party to a Lender Party which (in whole or in part) constitute the consideration for any supply for VAT purposes are deemed to be exclusive of any VAT which is chargeable on that supply, and accordingly, if VAT is or becomes chargeable on any supply made by any Lender Party to any Loan Party under a Loan Document and such Lender Party is required to account to the relevant tax authority for the VAT, that Loan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85445"/>
                <wp:effectExtent l="0" t="0" r="0" b="0"/>
                <wp:wrapNone/>
                <wp:docPr id="119" name="Frame1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Party must pay to such Lender Party (in addition to and at the same time as paying any other consideration for such supply) an amount equal to the amount of the VAT.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(ii)Where a Loan Document requires any Loan Party to reimburse or indemnify a Lender Party for any cost or expense, that Loan Party shall reimburse or indemnify (as the case may be) such Lender Party for the full amount of such cost or expense, including such part thereof as represents VAT.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(iii)In relation to any supply made by a Lender Party to any Loan Party under a Loan Document, if reasonably requested by such Lender Party, that Loan Party must promptly provide such Lender Party with details of that Loan Party’s VAT registration and such other information as is reasonably requested in connection with such Lender Party’s VAT reporting requirements in relation to such supply.</w:t>
      </w:r>
    </w:p>
    <w:p>
      <w:pPr>
        <w:pStyle w:val="TextBody"/>
        <w:bidi w:val="0"/>
        <w:spacing w:lineRule="auto" w:line="240" w:before="0" w:after="240"/>
        <w:ind w:left="0" w:right="0" w:firstLine="720"/>
        <w:jc w:val="both"/>
        <w:rPr/>
      </w:pPr>
      <w:r>
        <w:rPr>
          <w:rFonts w:ascii="Times New Roman;serif" w:hAnsi="Times New Roman;serif"/>
          <w:b/>
          <w:color w:val="000000"/>
          <w:sz w:val="22"/>
        </w:rPr>
        <w:t>3.02</w:t>
      </w:r>
      <w:r>
        <w:rPr>
          <w:rFonts w:ascii="Times New Roman;serif" w:hAnsi="Times New Roman;serif"/>
          <w:b/>
          <w:color w:val="000000"/>
          <w:sz w:val="22"/>
          <w:u w:val="single"/>
        </w:rPr>
        <w:t>Illegality</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(a)If any Lender determines that any Law has made it unlawful, or that any Governmental Authority has asserted that it is unlawful, for any Lender or its applicable Lending Office to make, maintain or fund or charge interest with respect to any Credit Extension, or to determine or charge interest rates based upon a Relevant Rate, purchase or sell, or to take deposits of, Dollars or any Alternative Currency in the applicable interbank market, then, upon notice thereof by such Lender to the Borrowers (through the Administrative Agent), (i) any obligation of such Lender to issue, make, maintain, fund or charge interest with respect to any such Credit Extension, or maintain Alternative Currency Loans in the affected currency or currencies or, in the case of Loans denominated in Dollars, any obligation of such Lender to make, maintain or continue Term SOFR Loans, Daily SOFR Loans or Alternative Currency Loans or to convert Base Rate Loans to Term SOFR Loans or Daily SOFR Loans shall be, in each case, suspended, and (ii)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Borrowers that the circumstances giving rise to such determination no longer exist. Upon receipt of such notice, (A) the Borrowers shall, upon demand from such Lender (with a copy to the Administrative Agent), prepay all Term SOFR Loans, Daily SOFR Loans or Alternative Currency Loans, as applicable in the affected currency or currencies or, if applicable, convert all Term SOFR Loans or Daily SOFR Loans of such Lender to Base Rate Loans (the interest rate on which Base Rate Loans of such Lender shall, if necessary to avoid such illegality, be determined by the Administrative Agent without reference to the Term SOFR component of the Base Rate), in each case, immediately, or, in the case of Alternative Currency Term Rate Loans, on the last day of the Interest Period therefor, if such Lender may lawfully continue to maintain such Alternative Currency Term Rate Loans to such day, or immediately, if such Lender may not lawfully continue to maintain such Alternative Currency Term Rate Loans and (B) if such notice asserts the illegality of such Lender determining or charging interest rates based upon the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Borrowers shall also pay accrued interest on the amount so prepaid or converted, together with any additional amounts required pursuant to </w:t>
      </w:r>
      <w:r>
        <w:rPr>
          <w:rFonts w:ascii="Times New Roman;serif" w:hAnsi="Times New Roman;serif"/>
          <w:b w:val="false"/>
          <w:color w:val="000000"/>
          <w:sz w:val="22"/>
          <w:u w:val="single"/>
        </w:rPr>
        <w:t>Section 3.05</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(b)If, in any applicable jurisdiction, the Administrative Agent, any L/C Issuer or any Lender or any Designated Lender determines that any Law has made it unlawful, or that any Governmental Authority has asserted that it is unlawful, for the Administrative Agent, the L/C Issuer or any Lender or its applicable Designated Lender to (i) perform any of its obligations hereunder or under any other Loan Document, (ii) to fund, hold a commitment or maintain its participation in any Loan or Letter of Credit or (iii) issue, make, maintain, fund or charge interest or fees with respect to any Credit Extension to any Borrower who is organized under the laws of a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85445"/>
                <wp:effectExtent l="0" t="0" r="0" b="0"/>
                <wp:wrapNone/>
                <wp:docPr id="120" name="Frame1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jurisdiction other than the United States, a State thereof or the District of Columbia such Person shall promptly notify the Administrative Agent, then, upon the Administrative Agent notifying the Company, and until such notice by such Person is revoked, any obligation of such Person to issue, make, maintain, fund or charge interest or fees with respect to any such Credit Extension shall be suspended, and to the extent required by Applicable Law, cancelled. Upon receipt of such notice, the Loan Parties shall, (A) repay that Person’s participation in the Loans or other applicable Obligations on the last day of the Interest Period for each Loan or other Obligation occurring after the Administrative Agent has notified the Company or, if earlier, the date specified by such Person in the notice delivered to the Administrative Agent (being no earlier than the last day of any applicable grace period permitted by Applicable Law), (B) to the extent applicable to the L/C Issuer, Cash Collateralize that portion of applicable L/C Obligations comprised of the aggregate undrawn amount of Letters of Credit to the extent not otherwise Cash Collateralized and (C) take all reasonable actions requested by such Person to mitigate or avoid such illegality.</w:t>
      </w:r>
    </w:p>
    <w:p>
      <w:pPr>
        <w:pStyle w:val="TextBody"/>
        <w:bidi w:val="0"/>
        <w:spacing w:lineRule="auto" w:line="240" w:before="0" w:after="240"/>
        <w:ind w:left="0" w:right="0" w:firstLine="720"/>
        <w:jc w:val="both"/>
        <w:rPr/>
      </w:pPr>
      <w:r>
        <w:rPr>
          <w:rFonts w:ascii="Times New Roman;serif" w:hAnsi="Times New Roman;serif"/>
          <w:b/>
          <w:color w:val="000000"/>
          <w:sz w:val="22"/>
        </w:rPr>
        <w:t>3.03</w:t>
      </w:r>
      <w:r>
        <w:rPr>
          <w:rFonts w:ascii="Times New Roman;serif" w:hAnsi="Times New Roman;serif"/>
          <w:b/>
          <w:color w:val="000000"/>
          <w:sz w:val="22"/>
          <w:u w:val="single"/>
        </w:rPr>
        <w:t>Inability to Determine Rates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Inability to Determine SOFR</w:t>
      </w:r>
      <w:r>
        <w:rPr>
          <w:rFonts w:ascii="Times New Roman;serif" w:hAnsi="Times New Roman;serif"/>
          <w:b w:val="false"/>
          <w:color w:val="000000"/>
          <w:sz w:val="22"/>
        </w:rPr>
        <w:t xml:space="preserve">. If in connection with any request for a Term SOFR Loan, a Daily SOFR Loan or an Alternative Currency Loan or a conversion of Base Rate Loans to a Term SOFR Loan, a Daily SOFR Loan or an Alternative Currency Loan or a continuation of any of such Loans, as applicable, (i) the Administrative Agent determines (which determination shall be conclusive absent manifest error) that (A) no Successor Rate for the Relevant Rate for the applicable Agreed Currency has been determined in accordance with </w:t>
      </w:r>
      <w:r>
        <w:rPr>
          <w:rFonts w:ascii="Times New Roman;serif" w:hAnsi="Times New Roman;serif"/>
          <w:b w:val="false"/>
          <w:color w:val="000000"/>
          <w:sz w:val="22"/>
          <w:u w:val="single"/>
        </w:rPr>
        <w:t>Section 3.03(b)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3.03(c)</w:t>
      </w:r>
      <w:r>
        <w:rPr>
          <w:color w:val="000000"/>
        </w:rPr>
        <w:t xml:space="preserve"> </w:t>
      </w:r>
      <w:r>
        <w:rPr>
          <w:rFonts w:ascii="Times New Roman;serif" w:hAnsi="Times New Roman;serif"/>
          <w:b w:val="false"/>
          <w:color w:val="000000"/>
          <w:sz w:val="22"/>
        </w:rPr>
        <w:t xml:space="preserve">and the circumstances under clause (i) of </w:t>
      </w:r>
      <w:r>
        <w:rPr>
          <w:rFonts w:ascii="Times New Roman;serif" w:hAnsi="Times New Roman;serif"/>
          <w:b w:val="false"/>
          <w:color w:val="000000"/>
          <w:sz w:val="22"/>
          <w:u w:val="single"/>
        </w:rPr>
        <w:t>Section 3.03(b)</w:t>
      </w:r>
      <w:r>
        <w:rPr>
          <w:color w:val="000000"/>
        </w:rPr>
        <w:t xml:space="preserve"> </w:t>
      </w:r>
      <w:r>
        <w:rPr>
          <w:rFonts w:ascii="Times New Roman;serif" w:hAnsi="Times New Roman;serif"/>
          <w:b w:val="false"/>
          <w:color w:val="000000"/>
          <w:sz w:val="22"/>
        </w:rPr>
        <w:t xml:space="preserve">or of Section 3.03(c) or the Scheduled Unavailability Date, or the SOFR Scheduled Unavailability Date, has occurred with respect to such Relevant Rate (as applicable), or (B) adequate and reasonable means do not otherwise exist for determining the Relevant Rate for the applicable Agreed Currency for any determination date(s) or requested Interest Period, as applicable, with respect to a proposed Term SOFR Loan, Daily SOFR Loan or an Alternative Currency Loan or in connection with an existing or proposed Base Rate Loan, or (ii) the Administrative Agent or the Required Lenders determine that for any reason that the Relevant Rate with respect to a proposed Loan denominated in an Agreed Currency for any requested Interest Period or determination date(s) does not adequately and fairly reflect the cost to such Lenders of funding such Loan, the Administrative Agent will promptly so notify the Company and each Lender.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Thereafter, (x) the obligation of the Lenders to make or maintain Term SOFR Loans, Daily SOFR Loans or Loans in the affected currencies, as applicable, or to convert Base Rate Loans to Term SOFR Loans, Daily SOFR Loans or Loans in the affected currencies, as applicable, shall be suspended in each case to the extent of the affected Term SOFR Loans, Daily SOFR Loans, Alternative Currency Loans or Interest Period or determination date(s), as applicable,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Times New Roman;serif" w:hAnsi="Times New Roman;serif"/>
          <w:b w:val="false"/>
          <w:color w:val="000000"/>
          <w:sz w:val="22"/>
          <w:u w:val="single"/>
        </w:rPr>
        <w:t>Section 3.03(a)</w:t>
      </w:r>
      <w:r>
        <w:rPr>
          <w:rFonts w:ascii="Times New Roman;serif" w:hAnsi="Times New Roman;serif"/>
          <w:b w:val="false"/>
          <w:color w:val="000000"/>
          <w:sz w:val="22"/>
        </w:rPr>
        <w:t xml:space="preserve">, until the Administrative Agent upon instruction of the Required Lenders) revokes such notice.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Upon receipt of such notice, (i) the Borrowers may revoke any pending request for a Borrowing of, or conversion to Term SOFR Loans or Daily SOFR Loans, or Borrowing of, or continuation of Term SOFR Loan or Alternative Currency Loans to the extent of the affected Term SOFR Loans, Alternative Currency Loans or Interest Period or determination date(s), as applicable or, failing that, will be deemed to have converted such request into a request for a Borrowing of Base Rate Loans and (ii)(A) any outstanding Term SOFR Loans or Daily SOFR Loans shall be deemed to have been converted to Base Rate Loans immediately and (B) any outstanding affected Alternative Currency Loans, at the Company’s election, shall either (1) be converted into a Borrowing of Base Rate Loans denominated in Dollars in the Dollar Equivalent of the amount of such outstanding Alternative Currency Loan immediately, in the case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85445"/>
                <wp:effectExtent l="0" t="0" r="0" b="0"/>
                <wp:wrapNone/>
                <wp:docPr id="121" name="Frame1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of an Alternative Currency Daily Rate Loan or at the end of the applicable Interest Period, in the case of an Alternative Currency Term Rate Loan or (2) be prepaid in full immediately, in the case of an Alternative Currency Daily Rate Loan, or at the end of the applicable Interest Period, in the case of an Alternative Currency Term Rate Loan;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no election is made by the Company (x) in the case of an Alternative Currency Daily Rate Loan, by the date that is three Business Days after receipt by the Company of such notice or (y) in the case of an Alternative Currency Term Rate Loan, by the last day of the current Interest Period for the applicable Alternative Currency Term Rate Loan, the Company shall be deemed to have elected clause (1) above.</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Replacement of SOFR or SOFR Successor Rate</w:t>
      </w:r>
      <w:r>
        <w:rPr>
          <w:rFonts w:ascii="Times New Roman;serif" w:hAnsi="Times New Roman;serif"/>
          <w:b w:val="false"/>
          <w:color w:val="000000"/>
          <w:sz w:val="22"/>
        </w:rPr>
        <w:t>. Notwithstanding anything to the contrary in this Agreement or any other Loan Documents, if the Administrative Agent determines (which determination shall be conclusive absent manifest error), or the Borrowers or Required Lenders notify the Administrative Agent (with, in the case of the Required Lenders, a copy to the Borrowers) that the Borrowers or Required Lenders (as applicable) have determined, that: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(i)adequate and reasonable means do not exist for ascertaining SOFR or one month and three month interest periods of Term SOFR, including, without limitation, because SOFR or the Term SOFR Screen Rate is not available or published on a current basis and such circumstances are unlikely to be temporary;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(ii)the Applicable Authority,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SOFR, one month and three month interest periods of Term SOFR or the Term SOFR Screen Rate shall or will no longer be representative or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SOFR on a representative basis or such interest periods of Term SOFR after such specific date on a representative basis (the latest date on which SOFR is or one month and three month interest periods of Term SOFR or the Term SOFR Screen Rate are no longer representative or available permanently or indefinitely, the “</w:t>
      </w:r>
      <w:r>
        <w:rPr>
          <w:rFonts w:ascii="Times New Roman;serif" w:hAnsi="Times New Roman;serif"/>
          <w:b w:val="false"/>
          <w:color w:val="000000"/>
          <w:sz w:val="22"/>
          <w:u w:val="single"/>
        </w:rPr>
        <w:t>SOFR Scheduled Unavailability Date</w:t>
      </w:r>
      <w:r>
        <w:rPr>
          <w:color w:val="000000"/>
        </w:rPr>
        <w:t>”</w:t>
      </w:r>
      <w:r>
        <w:rPr>
          <w:rFonts w:ascii="Times New Roman;serif" w:hAnsi="Times New Roman;serif"/>
          <w:b w:val="false"/>
          <w:color w:val="000000"/>
          <w:sz w:val="22"/>
        </w:rPr>
        <w:t>);</w:t>
      </w:r>
    </w:p>
    <w:p>
      <w:pPr>
        <w:pStyle w:val="TextBody"/>
        <w:bidi w:val="0"/>
        <w:spacing w:lineRule="auto" w:line="288" w:before="0" w:after="240"/>
        <w:jc w:val="both"/>
        <w:rPr/>
      </w:pPr>
      <w:r>
        <w:rPr>
          <w:rFonts w:ascii="Times New Roman;serif" w:hAnsi="Times New Roman;serif"/>
          <w:b w:val="false"/>
          <w:color w:val="000000"/>
          <w:sz w:val="22"/>
        </w:rPr>
        <w:t xml:space="preserve">or if the events or circumstances of the type described in </w:t>
      </w:r>
      <w:r>
        <w:rPr>
          <w:rFonts w:ascii="Times New Roman;serif" w:hAnsi="Times New Roman;serif"/>
          <w:b w:val="false"/>
          <w:color w:val="000000"/>
          <w:sz w:val="22"/>
          <w:u w:val="single"/>
        </w:rPr>
        <w:t>Section 3.03(b)(i)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 xml:space="preserve">(ii) </w:t>
      </w:r>
      <w:r>
        <w:rPr>
          <w:rFonts w:ascii="Times New Roman;serif" w:hAnsi="Times New Roman;serif"/>
          <w:b w:val="false"/>
          <w:color w:val="000000"/>
          <w:sz w:val="22"/>
        </w:rPr>
        <w:t xml:space="preserve">have occurred with respect to the SOFR Successor Rate then in effect, then, the Administrative Agent and the Borrowers may amend this Agreement solely for the purpose of replacing Daily SOFR or Term SOFR for Dollars or any then current SOFR Successor Rate for Dollars in accordance with this </w:t>
      </w:r>
      <w:r>
        <w:rPr>
          <w:rFonts w:ascii="Times New Roman;serif" w:hAnsi="Times New Roman;serif"/>
          <w:b w:val="false"/>
          <w:color w:val="000000"/>
          <w:sz w:val="22"/>
          <w:u w:val="single"/>
        </w:rPr>
        <w:t>Section 3.03</w:t>
      </w:r>
      <w:r>
        <w:rPr>
          <w:color w:val="000000"/>
        </w:rPr>
        <w:t xml:space="preserve"> </w:t>
      </w:r>
      <w:r>
        <w:rPr>
          <w:rFonts w:ascii="Times New Roman;serif" w:hAnsi="Times New Roman;serif"/>
          <w:b w:val="false"/>
          <w:color w:val="000000"/>
          <w:sz w:val="22"/>
        </w:rPr>
        <w:t>with an alternative benchmark rate giving due consideration to any evolving or then existing convention for similar credit facilities syndicated and agented in the U.S. and denominated in Dollars for such alternative benchmarks, and, in each case, including any mathematical or other adjustments to such benchmark giving due consideration to any evolving or then existing convention for similar credit facilities syndicated and agented in the U.S. and denominated in Dollars for such benchmarks (and any such proposed rate, including for the avoidance of doubt, any adjustment thereto, a “</w:t>
      </w:r>
      <w:r>
        <w:rPr>
          <w:rFonts w:ascii="Times New Roman;serif" w:hAnsi="Times New Roman;serif"/>
          <w:b w:val="false"/>
          <w:color w:val="000000"/>
          <w:sz w:val="22"/>
          <w:u w:val="single"/>
        </w:rPr>
        <w:t>SOFR Successor Rate</w:t>
      </w:r>
      <w:r>
        <w:rPr>
          <w:color w:val="000000"/>
        </w:rPr>
        <w:t>”</w:t>
      </w:r>
      <w:r>
        <w:rPr>
          <w:rFonts w:ascii="Times New Roman;serif" w:hAnsi="Times New Roman;serif"/>
          <w:b w:val="false"/>
          <w:color w:val="000000"/>
          <w:sz w:val="22"/>
        </w:rPr>
        <w:t>), and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85445"/>
                <wp:effectExtent l="0" t="0" r="0" b="0"/>
                <wp:wrapNone/>
                <wp:docPr id="122" name="Frame1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Replacement of Relevant Rate or Successor Rate</w:t>
      </w:r>
      <w:r>
        <w:rPr>
          <w:rFonts w:ascii="Times New Roman;serif" w:hAnsi="Times New Roman;serif"/>
          <w:b w:val="false"/>
          <w:color w:val="000000"/>
          <w:sz w:val="22"/>
        </w:rPr>
        <w:t>. Notwithstanding anything to the contrary in this Agreement or any other Loan Documents, if the Administrative Agent determines (which determination shall be conclusive absent manifest error), or the Borrowers or Required Lenders notify the Administrative Agent (with, in the case of the Required Lenders, a copy to the Borrowers) that the Borrowers or Required Lenders (as applicable) have determined, that: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(i)adequate and reasonable means do not exist for ascertaining the Relevant Rate (other than SOFR) for an Agreed Currency (other than Dollars) because none of the tenors of such Relevant Rate (other than SOFR) under this Agreement is available or published on a current basis and such circumstances are unlikely to be temporary;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(ii)the Applicable Authority has made a public statement identifying a specific date after which all tenors of the Relevant Rate (other than SOFR) for an Agreed Currency (other than Dollars) under this Agreement shall or will no longer be representative or made available, or permitted to be used for determining the interest rate of syndicated loans denominated in such Agreed Currency (other than Dollars), or shall or will otherwise cease, provided that, in each case, at the time of such statement, there is no successor administrator that is satisfactory to the Administrative Agent that will continue to provide such representative tenor(s) of the Relevant Rate (other than SOFR) for such Agreed Currency (other than Dollars) (the latest date on which all tenors of the Relevant Rate for such Agreed Currency (other than Dollars) under this Agreement are no longer representative or available permanently or indefinitely (the “</w:t>
      </w:r>
      <w:r>
        <w:rPr>
          <w:rFonts w:ascii="Times New Roman;serif" w:hAnsi="Times New Roman;serif"/>
          <w:b w:val="false"/>
          <w:color w:val="000000"/>
          <w:sz w:val="22"/>
          <w:u w:val="single"/>
        </w:rPr>
        <w:t>Scheduled Unavailability Date</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jc w:val="both"/>
        <w:rPr/>
      </w:pPr>
      <w:r>
        <w:rPr>
          <w:rFonts w:ascii="Times New Roman;serif" w:hAnsi="Times New Roman;serif"/>
          <w:b w:val="false"/>
          <w:color w:val="000000"/>
          <w:sz w:val="22"/>
        </w:rPr>
        <w:t xml:space="preserve">or if the events or circumstances of the type described in </w:t>
      </w:r>
      <w:r>
        <w:rPr>
          <w:rFonts w:ascii="Times New Roman;serif" w:hAnsi="Times New Roman;serif"/>
          <w:b w:val="false"/>
          <w:color w:val="000000"/>
          <w:sz w:val="22"/>
          <w:u w:val="single"/>
        </w:rPr>
        <w:t>Section 3.03(c)(i)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 xml:space="preserve">have occurred with respect to the Successor Rate then in effect, then, the Administrative Agent and the Borrowers may amend this Agreement solely for the purpose of replacing the Relevant Rate for an Agreed Currency or any then current Successor Rate for an Agreed Currency in accordance with this </w:t>
      </w:r>
      <w:r>
        <w:rPr>
          <w:rFonts w:ascii="Times New Roman;serif" w:hAnsi="Times New Roman;serif"/>
          <w:b w:val="false"/>
          <w:color w:val="000000"/>
          <w:sz w:val="22"/>
          <w:u w:val="single"/>
        </w:rPr>
        <w:t>Section 3.03</w:t>
      </w:r>
      <w:r>
        <w:rPr>
          <w:color w:val="000000"/>
        </w:rPr>
        <w:t xml:space="preserve"> </w:t>
      </w:r>
      <w:r>
        <w:rPr>
          <w:rFonts w:ascii="Times New Roman;serif" w:hAnsi="Times New Roman;serif"/>
          <w:b w:val="false"/>
          <w:color w:val="000000"/>
          <w:sz w:val="22"/>
        </w:rPr>
        <w:t>with an alternative benchmark rate giving due consideration to any evolving or then existing convention for similar credit facilities syndicated and agented in the U.S. and denominated in such Agreed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Agreed Currency for such benchmarks (and any such proposed rate, including for the avoidance of doubt, any adjustment thereto, a “</w:t>
      </w:r>
      <w:r>
        <w:rPr>
          <w:rFonts w:ascii="Times New Roman;serif" w:hAnsi="Times New Roman;serif"/>
          <w:b w:val="false"/>
          <w:color w:val="000000"/>
          <w:sz w:val="22"/>
          <w:u w:val="single"/>
        </w:rPr>
        <w:t>Non-SOFR Successor Rate</w:t>
      </w:r>
      <w:r>
        <w:rPr>
          <w:color w:val="000000"/>
        </w:rPr>
        <w:t>”</w:t>
      </w:r>
      <w:r>
        <w:rPr>
          <w:rFonts w:ascii="Times New Roman;serif" w:hAnsi="Times New Roman;serif"/>
          <w:b w:val="false"/>
          <w:color w:val="000000"/>
          <w:sz w:val="22"/>
        </w:rPr>
        <w:t>, and collectively with the SOFR Successor Rate, each a “</w:t>
      </w:r>
      <w:r>
        <w:rPr>
          <w:rFonts w:ascii="Times New Roman;serif" w:hAnsi="Times New Roman;serif"/>
          <w:b w:val="false"/>
          <w:color w:val="000000"/>
          <w:sz w:val="22"/>
          <w:u w:val="single"/>
        </w:rPr>
        <w:t>Successor Rate</w:t>
      </w:r>
      <w:r>
        <w:rPr>
          <w:color w:val="000000"/>
        </w:rPr>
        <w:t>”</w:t>
      </w:r>
      <w:r>
        <w:rPr>
          <w:rFonts w:ascii="Times New Roman;serif" w:hAnsi="Times New Roman;serif"/>
          <w:b w:val="false"/>
          <w:color w:val="000000"/>
          <w:sz w:val="22"/>
        </w:rPr>
        <w:t xml:space="preserve">), and any such amendment shall become effective at 5:00 p.m. on the fifth Business Day after the Administrative Agent shall have posted such proposed amendment to all Lenders and the Borrowers unless, prior to such time, Lenders comprising the Required Lenders have delivered to the Administrative Agent written notice that such Required Lenders object to such amendment. </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 xml:space="preserve">Successor Rate. </w:t>
      </w:r>
      <w:r>
        <w:rPr>
          <w:rFonts w:ascii="Times New Roman;serif" w:hAnsi="Times New Roman;serif"/>
          <w:b w:val="false"/>
          <w:color w:val="000000"/>
          <w:sz w:val="22"/>
        </w:rPr>
        <w:t>The Administrative Agent will promptly (in one or more notices) notify the Borrowers and each Lender of the implementation of any Successor Rate.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Any Successor Rate shall be applied in a manner consistent with market practice;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to the extent such market practice is not administratively feasible for the Administrative Agent, such Successor Rate shall be applied in a manner as otherwise reasonably determined by the Administrative Agent.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else herein, if at any time any Successor Rate as so determined would otherwise be less than zero, the Successor Rate will be deemed to be zero for the purposes of this Agreement and the other Loan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85445"/>
                <wp:effectExtent l="0" t="0" r="0" b="0"/>
                <wp:wrapNone/>
                <wp:docPr id="123" name="Frame1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 respect to any such amendment effected, the Administrative Agent shall post each such amendment implementing such Conforming Changes to the Borrowers and the Lenders reasonably promptly after such amendment becomes effective.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(e)For the purposes of this Section 3.03, those Lenders that either have not made, or do not have an obligation under this Agreement to make, the relevant Loans in the relevant Agreed Currency shall be excluded from any determination of Required Lenders.</w:t>
      </w:r>
    </w:p>
    <w:p>
      <w:pPr>
        <w:pStyle w:val="TextBody"/>
        <w:bidi w:val="0"/>
        <w:spacing w:lineRule="auto" w:line="240" w:before="0" w:after="240"/>
        <w:ind w:left="0" w:right="0" w:firstLine="720"/>
        <w:jc w:val="both"/>
        <w:rPr/>
      </w:pPr>
      <w:r>
        <w:rPr>
          <w:rFonts w:ascii="Times New Roman;serif" w:hAnsi="Times New Roman;serif"/>
          <w:b/>
          <w:color w:val="000000"/>
          <w:sz w:val="22"/>
        </w:rPr>
        <w:t>3.04</w:t>
      </w:r>
      <w:r>
        <w:rPr>
          <w:rFonts w:ascii="Times New Roman;serif" w:hAnsi="Times New Roman;serif"/>
          <w:b/>
          <w:color w:val="000000"/>
          <w:sz w:val="22"/>
          <w:u w:val="single"/>
        </w:rPr>
        <w:t>Increased Costs</w:t>
      </w:r>
      <w:r>
        <w:rPr>
          <w:rFonts w:ascii="Times New Roman;serif" w:hAnsi="Times New Roman;serif"/>
          <w:b/>
          <w:color w:val="000000"/>
          <w:sz w:val="22"/>
        </w:rPr>
        <w:t>.</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Increased Costs Generally</w:t>
      </w:r>
      <w:r>
        <w:rPr>
          <w:rFonts w:ascii="Times New Roman;serif" w:hAnsi="Times New Roman;serif"/>
          <w:b w:val="false"/>
          <w:color w:val="000000"/>
          <w:sz w:val="22"/>
        </w:rPr>
        <w:t>. If any Change in Law shall:</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(i)impose, modify or deem applicable any reserve, special deposit, compulsory loan, insurance charge or similar requirement against assets of, deposits with or for the account of, or credit extended or participated in by, any Lender or any L/C Issuer;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(ii)subject any Recipient to any Taxes (other than (A) Indemnified Taxes, (B) Taxes described in </w:t>
      </w:r>
      <w:r>
        <w:rPr>
          <w:rFonts w:ascii="Times New Roman;serif" w:hAnsi="Times New Roman;serif"/>
          <w:b w:val="false"/>
          <w:color w:val="000000"/>
          <w:sz w:val="22"/>
          <w:u w:val="single"/>
        </w:rPr>
        <w:t>clauses (b</w:t>
      </w:r>
      <w:r>
        <w:rPr>
          <w:rFonts w:ascii="Times New Roman;serif" w:hAnsi="Times New Roman;serif"/>
          <w:b w:val="false"/>
          <w:color w:val="000000"/>
          <w:sz w:val="22"/>
        </w:rPr>
        <w:t>) through (</w:t>
      </w:r>
      <w:r>
        <w:rPr>
          <w:rFonts w:ascii="Times New Roman;serif" w:hAnsi="Times New Roman;serif"/>
          <w:b w:val="false"/>
          <w:color w:val="000000"/>
          <w:sz w:val="22"/>
          <w:u w:val="single"/>
        </w:rPr>
        <w:t>e</w:t>
      </w:r>
      <w:r>
        <w:rPr>
          <w:rFonts w:ascii="Times New Roman;serif" w:hAnsi="Times New Roman;serif"/>
          <w:b w:val="false"/>
          <w:color w:val="000000"/>
          <w:sz w:val="22"/>
        </w:rPr>
        <w:t>) 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(iii)impose on any Lender or any L/C Issuer or any applicable interbank market any other condition, cost or expense affecting this Agreement, Term SOFR Loans, Daily SOFR Loans or Alternative Currency Loans made by such Lender or any Letter of Credit or participation therein;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and the result of any of the foregoing shall be to increase the cost to such Lender of making, converting to, continuing or maintaining any Loan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the Company will pay (or cause the applicable Designated Borrower to pay) to such Lender or such L/C Issuer, as the case may be, such additional amount or amounts as will compensate such Lender or such L/C Issuer, as the case may be, for such additional costs incurred or reduction suffered.</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Capital Requirements</w:t>
      </w:r>
      <w:r>
        <w:rPr>
          <w:rFonts w:ascii="Times New Roman;serif" w:hAnsi="Times New Roman;serif"/>
          <w:b w:val="false"/>
          <w:color w:val="000000"/>
          <w:sz w:val="22"/>
        </w:rPr>
        <w:t xml:space="preserve">.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or Swingline Loans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then from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85445"/>
                <wp:effectExtent l="0" t="0" r="0" b="0"/>
                <wp:wrapNone/>
                <wp:docPr id="124" name="Frame1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time to time the Company will pay (or cause the applicable Designated Borrower to pay) to such Lender or such L/C Issuer, as the case may be, such additional amount or amounts as will compensate such Lender or such L/C Issuer or such Lender’s or such L/C Issuer’s holding company for any such reduction suffered.</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Mandatory Costs</w:t>
      </w:r>
      <w:r>
        <w:rPr>
          <w:rFonts w:ascii="Times New Roman;serif" w:hAnsi="Times New Roman;serif"/>
          <w:b w:val="false"/>
          <w:color w:val="000000"/>
          <w:sz w:val="22"/>
        </w:rPr>
        <w:t>. If any Lender or any L/C Issuer incurs any Mandatory Costs attributable to the Obligations, then from time to time the Company will pay (or cause the applicable Designated Borrower to pay) to such Lender or such L/C Issuer, as the case may be, such Mandatory Costs. Such amount shall be expressed as a percentage rate per annum and shall be payable on the full amount of the applicable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Certificates for Reimbursement</w:t>
      </w:r>
      <w:r>
        <w:rPr>
          <w:rFonts w:ascii="Times New Roman;serif" w:hAnsi="Times New Roman;serif"/>
          <w:b w:val="false"/>
          <w:color w:val="000000"/>
          <w:sz w:val="22"/>
        </w:rPr>
        <w:t xml:space="preserve">. A certificate of a Lender or an L/C Issuer setting forth the amount or amounts necessary to compensate such Lender or such L/C Issuer or its holding company, as the case may be, as specified in </w:t>
      </w:r>
      <w:r>
        <w:rPr>
          <w:rFonts w:ascii="Times New Roman;serif" w:hAnsi="Times New Roman;serif"/>
          <w:b w:val="false"/>
          <w:color w:val="000000"/>
          <w:sz w:val="22"/>
          <w:u w:val="single"/>
        </w:rPr>
        <w:t>clause (a</w:t>
      </w:r>
      <w:r>
        <w:rPr>
          <w:rFonts w:ascii="Times New Roman;serif" w:hAnsi="Times New Roman;serif"/>
          <w:b w:val="false"/>
          <w:color w:val="000000"/>
          <w:sz w:val="22"/>
        </w:rPr>
        <w:t>), (</w:t>
      </w:r>
      <w:r>
        <w:rPr>
          <w:rFonts w:ascii="Times New Roman;serif" w:hAnsi="Times New Roman;serif"/>
          <w:b w:val="false"/>
          <w:color w:val="000000"/>
          <w:sz w:val="22"/>
          <w:u w:val="single"/>
        </w:rPr>
        <w:t>b</w:t>
      </w:r>
      <w:r>
        <w:rPr>
          <w:rFonts w:ascii="Times New Roman;serif" w:hAnsi="Times New Roman;serif"/>
          <w:b w:val="false"/>
          <w:color w:val="000000"/>
          <w:sz w:val="22"/>
        </w:rPr>
        <w:t>) or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of this </w:t>
      </w:r>
      <w:r>
        <w:rPr>
          <w:rFonts w:ascii="Times New Roman;serif" w:hAnsi="Times New Roman;serif"/>
          <w:b w:val="false"/>
          <w:color w:val="000000"/>
          <w:sz w:val="22"/>
          <w:u w:val="single"/>
        </w:rPr>
        <w:t>Section 3.04</w:t>
      </w:r>
      <w:r>
        <w:rPr>
          <w:color w:val="000000"/>
        </w:rPr>
        <w:t xml:space="preserve"> </w:t>
      </w:r>
      <w:r>
        <w:rPr>
          <w:rFonts w:ascii="Times New Roman;serif" w:hAnsi="Times New Roman;serif"/>
          <w:b w:val="false"/>
          <w:color w:val="000000"/>
          <w:sz w:val="22"/>
        </w:rPr>
        <w:t>and delivered to the Borrowers shall be conclusive absent demonstrable error. The Company shall pay (or cause the applicable Designated Borrower to pay) such Lender or such L/C Issuer, as the case may be, the amount shown as due on any such certificate within ten (10) days after receipt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Delay in Requests</w:t>
      </w:r>
      <w:r>
        <w:rPr>
          <w:rFonts w:ascii="Times New Roman;serif" w:hAnsi="Times New Roman;serif"/>
          <w:b w:val="false"/>
          <w:color w:val="000000"/>
          <w:sz w:val="22"/>
        </w:rPr>
        <w:t xml:space="preserve">. Failure or delay on the part of any Lender or any L/C Issuer to demand compensation pursuant to the foregoing provisions of this </w:t>
      </w:r>
      <w:r>
        <w:rPr>
          <w:rFonts w:ascii="Times New Roman;serif" w:hAnsi="Times New Roman;serif"/>
          <w:b w:val="false"/>
          <w:color w:val="000000"/>
          <w:sz w:val="22"/>
          <w:u w:val="single"/>
        </w:rPr>
        <w:t>Section 3.04</w:t>
      </w:r>
      <w:r>
        <w:rPr>
          <w:color w:val="000000"/>
        </w:rPr>
        <w:t xml:space="preserve"> </w:t>
      </w:r>
      <w:r>
        <w:rPr>
          <w:rFonts w:ascii="Times New Roman;serif" w:hAnsi="Times New Roman;serif"/>
          <w:b w:val="false"/>
          <w:color w:val="000000"/>
          <w:sz w:val="22"/>
        </w:rPr>
        <w:t xml:space="preserve">shall not constitute a waiver of such Lender’s or such L/C Issuer’s right to demand such compensation, provided that the Borrowers shall not be required to compensate a Lender or an L/C Issuer pursuant to the foregoing provisions of this </w:t>
      </w:r>
      <w:r>
        <w:rPr>
          <w:rFonts w:ascii="Times New Roman;serif" w:hAnsi="Times New Roman;serif"/>
          <w:b w:val="false"/>
          <w:color w:val="000000"/>
          <w:sz w:val="22"/>
          <w:u w:val="single"/>
        </w:rPr>
        <w:t>Section 3.04</w:t>
      </w:r>
      <w:r>
        <w:rPr>
          <w:color w:val="000000"/>
        </w:rPr>
        <w:t xml:space="preserve"> </w:t>
      </w:r>
      <w:r>
        <w:rPr>
          <w:rFonts w:ascii="Times New Roman;serif" w:hAnsi="Times New Roman;serif"/>
          <w:b w:val="false"/>
          <w:color w:val="000000"/>
          <w:sz w:val="22"/>
        </w:rPr>
        <w:t>for any increased costs incurred or reductions suffered more than nine (9) months prior to the date that such Lender or such L/C Issuer, as the case may be, notifies the Borrowers of the Change in Law giving rise to such increased costs or reductions and of such Lender’s or such L/C Issuer’s intention to claim compensation therefor (except that, if the Change in Law giving rise to such increased costs or reductions is retroactive, then the nine (9) month period referred to above shall be extended to include the period of retroactive effect thereof).</w:t>
      </w:r>
    </w:p>
    <w:p>
      <w:pPr>
        <w:pStyle w:val="TextBody"/>
        <w:bidi w:val="0"/>
        <w:spacing w:lineRule="auto" w:line="240" w:before="0" w:after="240"/>
        <w:ind w:left="0" w:right="0" w:firstLine="720"/>
        <w:jc w:val="both"/>
        <w:rPr/>
      </w:pPr>
      <w:r>
        <w:rPr>
          <w:rFonts w:ascii="Times New Roman;serif" w:hAnsi="Times New Roman;serif"/>
          <w:b/>
          <w:color w:val="000000"/>
          <w:sz w:val="22"/>
        </w:rPr>
        <w:t>3.05</w:t>
      </w:r>
      <w:r>
        <w:rPr>
          <w:rFonts w:ascii="Times New Roman;serif" w:hAnsi="Times New Roman;serif"/>
          <w:b/>
          <w:color w:val="000000"/>
          <w:sz w:val="22"/>
          <w:u w:val="single"/>
        </w:rPr>
        <w:t>Compensation for Losses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Upon demand of any Lender (with a copy to the Administrative Agent) from time to time, the Company shall promptly compensate (or cause the applicable Designated Borrower to compensate) such Lender for and hold such Lender harmless from any loss, cost or expense incurred by it as a result of: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(a)any continuation, conversion, payment or prepayment of any Loan other than a Base Rate Loan on a day other than the last day of the Interest Period relevant interest payment date or payment period, as applicable, for such Loan (whether voluntary, mandatory, automatic, by reason of acceleration, or otherwise);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(b)any failure by any Borrower (for a reason other than the failure of such Lender to make a Loan) to prepay, borrow, continue or convert any Loan other than a Base Rate Loan on the date or in the amount notified by the applicable Borrower;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(c)any assignment of a Term SOFR Loan or an Alternative Currency Term Rate Loan on a day other than the last day of the Interest Period therefor as a result of a request by the Borrowers pursuant to </w:t>
      </w:r>
      <w:r>
        <w:rPr>
          <w:rFonts w:ascii="Times New Roman;serif" w:hAnsi="Times New Roman;serif"/>
          <w:b w:val="false"/>
          <w:color w:val="000000"/>
          <w:sz w:val="22"/>
          <w:u w:val="single"/>
        </w:rPr>
        <w:t>Section 11.13</w:t>
      </w:r>
      <w:r>
        <w:rPr>
          <w:rFonts w:ascii="Times New Roman;serif" w:hAnsi="Times New Roman;serif"/>
          <w:b w:val="false"/>
          <w:color w:val="000000"/>
          <w:sz w:val="22"/>
        </w:rPr>
        <w:t>;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(d)any failure by any Borrower to make payment of any Loan or drawing under any Letter of Credit (or interest due thereon) denominated in an Alternative Currency on its scheduled due date or any payment thereof in a different currency;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including any loss of anticipated profits, any foreign exchange losses and any loss or expense arising from the liquidation or reemployment of funds obtained by it to maintain such Loan or from fees payable to terminate the deposits from which such funds were obtained or from the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85445"/>
                <wp:effectExtent l="0" t="0" r="0" b="0"/>
                <wp:wrapNone/>
                <wp:docPr id="125" name="Frame1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90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90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performance of any foreign exchange contract, but excluding in any event any loss of Applicable Rate or similar loan margin. The Company shall also pay (or cause the applicable Designated Borrower to pay) any customary administrative fees charged by such Lender in connection with the foregoing.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For purposes of calculating amounts payable by the Company (or the applicable Designated Borrower) to the Lenders under this </w:t>
      </w:r>
      <w:r>
        <w:rPr>
          <w:rFonts w:ascii="Times New Roman;serif" w:hAnsi="Times New Roman;serif"/>
          <w:b w:val="false"/>
          <w:color w:val="000000"/>
          <w:sz w:val="22"/>
          <w:u w:val="single"/>
        </w:rPr>
        <w:t>Section 3.05</w:t>
      </w:r>
      <w:r>
        <w:rPr>
          <w:rFonts w:ascii="Times New Roman;serif" w:hAnsi="Times New Roman;serif"/>
          <w:b w:val="false"/>
          <w:color w:val="000000"/>
          <w:sz w:val="22"/>
        </w:rPr>
        <w:t>, each Lender shall be deemed to have funded each Term SOFR Loan or Alternative Currency Term Rate Loan made by it at the Term SOFR or Alternative Currency Term Rate for such Loan by a matching deposit or other borrowing in the offshore interbank market for such currency for a comparable amount and for a comparable period, whether or not such Term SOFR Loan or Alternative Currency Term Rate Loan was in fact so funded.</w:t>
      </w:r>
    </w:p>
    <w:p>
      <w:pPr>
        <w:pStyle w:val="TextBody"/>
        <w:bidi w:val="0"/>
        <w:spacing w:lineRule="auto" w:line="240" w:before="0" w:after="240"/>
        <w:ind w:left="0" w:right="0" w:firstLine="720"/>
        <w:jc w:val="both"/>
        <w:rPr/>
      </w:pPr>
      <w:r>
        <w:rPr>
          <w:rFonts w:ascii="Times New Roman;serif" w:hAnsi="Times New Roman;serif"/>
          <w:b/>
          <w:color w:val="000000"/>
          <w:sz w:val="22"/>
        </w:rPr>
        <w:t>3.06</w:t>
      </w:r>
      <w:r>
        <w:rPr>
          <w:rFonts w:ascii="Times New Roman;serif" w:hAnsi="Times New Roman;serif"/>
          <w:b/>
          <w:color w:val="000000"/>
          <w:sz w:val="22"/>
          <w:u w:val="single"/>
        </w:rPr>
        <w:t>Mitigation Obligations; Replacement of Lenders</w:t>
      </w:r>
      <w:r>
        <w:rPr>
          <w:rFonts w:ascii="Times New Roman;serif" w:hAnsi="Times New Roman;serif"/>
          <w:b/>
          <w:color w:val="000000"/>
          <w:sz w:val="22"/>
        </w:rPr>
        <w:t>.</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Designation of a Different Lending Office</w:t>
      </w:r>
      <w:r>
        <w:rPr>
          <w:rFonts w:ascii="Times New Roman;serif" w:hAnsi="Times New Roman;serif"/>
          <w:b w:val="false"/>
          <w:color w:val="000000"/>
          <w:sz w:val="22"/>
        </w:rPr>
        <w:t xml:space="preserve">. If any Recipient requests compensation under </w:t>
      </w:r>
      <w:r>
        <w:rPr>
          <w:rFonts w:ascii="Times New Roman;serif" w:hAnsi="Times New Roman;serif"/>
          <w:b w:val="false"/>
          <w:color w:val="000000"/>
          <w:sz w:val="22"/>
          <w:u w:val="single"/>
        </w:rPr>
        <w:t>Section 3.04</w:t>
      </w:r>
      <w:r>
        <w:rPr>
          <w:rFonts w:ascii="Times New Roman;serif" w:hAnsi="Times New Roman;serif"/>
          <w:b w:val="false"/>
          <w:color w:val="000000"/>
          <w:sz w:val="22"/>
        </w:rPr>
        <w:t xml:space="preserve">, or requires any Loan Party to pay any Indemnified Taxes or additional amounts to any Recipient or any Governmental Authority for the account of any Recipient pursuant to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or if any Lender gives a notice pursuant to </w:t>
      </w:r>
      <w:r>
        <w:rPr>
          <w:rFonts w:ascii="Times New Roman;serif" w:hAnsi="Times New Roman;serif"/>
          <w:b w:val="false"/>
          <w:color w:val="000000"/>
          <w:sz w:val="22"/>
          <w:u w:val="single"/>
        </w:rPr>
        <w:t>Section 3.02</w:t>
      </w:r>
      <w:r>
        <w:rPr>
          <w:rFonts w:ascii="Times New Roman;serif" w:hAnsi="Times New Roman;serif"/>
          <w:b w:val="false"/>
          <w:color w:val="000000"/>
          <w:sz w:val="22"/>
        </w:rPr>
        <w:t xml:space="preserve">, then at the request of the Loan Party, such Recipient shall, as applicable, use reasonable efforts to designate a different Lending Office for funding or booking its Loans hereunder or to assign its rights and obligations hereunder to another of its offices, branches or affiliates, if, in the judgment of such Recipient, such designation or assignment (i) would eliminate or reduce amounts payable pursuant to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3.04</w:t>
      </w:r>
      <w:r>
        <w:rPr>
          <w:rFonts w:ascii="Times New Roman;serif" w:hAnsi="Times New Roman;serif"/>
          <w:b w:val="false"/>
          <w:color w:val="000000"/>
          <w:sz w:val="22"/>
        </w:rPr>
        <w:t xml:space="preserve">, as the case may be, in the future, or eliminate the need for the notice pursuant to </w:t>
      </w:r>
      <w:r>
        <w:rPr>
          <w:rFonts w:ascii="Times New Roman;serif" w:hAnsi="Times New Roman;serif"/>
          <w:b w:val="false"/>
          <w:color w:val="000000"/>
          <w:sz w:val="22"/>
          <w:u w:val="single"/>
        </w:rPr>
        <w:t>Section 3.02</w:t>
      </w:r>
      <w:r>
        <w:rPr>
          <w:rFonts w:ascii="Times New Roman;serif" w:hAnsi="Times New Roman;serif"/>
          <w:b w:val="false"/>
          <w:color w:val="000000"/>
          <w:sz w:val="22"/>
        </w:rPr>
        <w:t>, as applicable, and (ii) in each case, would not subject such Recipient, as the case may be, to any unreimbursed cost or expense and would not otherwise be disadvantageous to such Lender or such L/C Issuer, as the case may be. The applicable Loan Party hereby agrees to pay (or cause the applicable Designated Borrower to pay) all reasonable costs and expenses incurred by any Recipient in connection with any such designation or assignment.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Replacement of Lenders</w:t>
      </w:r>
      <w:r>
        <w:rPr>
          <w:rFonts w:ascii="Times New Roman;serif" w:hAnsi="Times New Roman;serif"/>
          <w:b w:val="false"/>
          <w:color w:val="000000"/>
          <w:sz w:val="22"/>
        </w:rPr>
        <w:t xml:space="preserve">. If any Lender requests compensation under </w:t>
      </w:r>
      <w:r>
        <w:rPr>
          <w:rFonts w:ascii="Times New Roman;serif" w:hAnsi="Times New Roman;serif"/>
          <w:b w:val="false"/>
          <w:color w:val="000000"/>
          <w:sz w:val="22"/>
          <w:u w:val="single"/>
        </w:rPr>
        <w:t>Section 3.04</w:t>
      </w:r>
      <w:r>
        <w:rPr>
          <w:rFonts w:ascii="Times New Roman;serif" w:hAnsi="Times New Roman;serif"/>
          <w:b w:val="false"/>
          <w:color w:val="000000"/>
          <w:sz w:val="22"/>
        </w:rPr>
        <w:t xml:space="preserve">, or if any Loan Party is required to pay any Indemnified Taxes or additional amounts to any Lender or any Governmental Authority for the account of any Lender pursuant to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and, in each case, such Lender has declined or is unable to designate a different lending office in accordance with </w:t>
      </w:r>
      <w:r>
        <w:rPr>
          <w:rFonts w:ascii="Times New Roman;serif" w:hAnsi="Times New Roman;serif"/>
          <w:b w:val="false"/>
          <w:color w:val="000000"/>
          <w:sz w:val="22"/>
          <w:u w:val="single"/>
        </w:rPr>
        <w:t>Section 3.06(a</w:t>
      </w:r>
      <w:r>
        <w:rPr>
          <w:rFonts w:ascii="Times New Roman;serif" w:hAnsi="Times New Roman;serif"/>
          <w:b w:val="false"/>
          <w:color w:val="000000"/>
          <w:sz w:val="22"/>
        </w:rPr>
        <w:t xml:space="preserve">), the Borrowers may replace such Lender in accordance with </w:t>
      </w:r>
      <w:r>
        <w:rPr>
          <w:rFonts w:ascii="Times New Roman;serif" w:hAnsi="Times New Roman;serif"/>
          <w:b w:val="false"/>
          <w:color w:val="000000"/>
          <w:sz w:val="22"/>
          <w:u w:val="single"/>
        </w:rPr>
        <w:t>Section 11.13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3.07</w:t>
      </w:r>
      <w:r>
        <w:rPr>
          <w:rFonts w:ascii="Times New Roman;serif" w:hAnsi="Times New Roman;serif"/>
          <w:b/>
          <w:color w:val="000000"/>
          <w:sz w:val="22"/>
          <w:u w:val="single"/>
        </w:rPr>
        <w:t>Survival</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All of the Loan Parties’ obligations under this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shall survive termination of the Aggregate Commitments, repayment of all other Obligations hereunder, resignation of the Administrative Agent and the Facility Termination Date.</w:t>
      </w:r>
    </w:p>
    <w:p>
      <w:pPr>
        <w:pStyle w:val="TextBody"/>
        <w:bidi w:val="0"/>
        <w:spacing w:lineRule="auto" w:line="240" w:before="0" w:after="240"/>
        <w:jc w:val="center"/>
        <w:rPr/>
      </w:pPr>
      <w:r>
        <w:rPr>
          <w:rFonts w:ascii="Times New Roman;serif" w:hAnsi="Times New Roman;serif"/>
          <w:b/>
          <w:color w:val="000000"/>
          <w:sz w:val="22"/>
        </w:rPr>
        <w:t>Article IV</w:t>
      </w:r>
      <w:r>
        <w:rPr>
          <w:rFonts w:ascii="Times New Roman;serif" w:hAnsi="Times New Roman;serif"/>
          <w:b/>
          <w:color w:val="000000"/>
          <w:sz w:val="22"/>
        </w:rPr>
        <w:br/>
        <w:br/>
        <w:t>CONDITIONS PRECEDENT TO CREDIT EXTENSIONS</w:t>
      </w:r>
    </w:p>
    <w:p>
      <w:pPr>
        <w:pStyle w:val="TextBody"/>
        <w:bidi w:val="0"/>
        <w:spacing w:lineRule="auto" w:line="240" w:before="0" w:after="240"/>
        <w:ind w:left="0" w:right="0" w:firstLine="720"/>
        <w:jc w:val="both"/>
        <w:rPr/>
      </w:pPr>
      <w:r>
        <w:rPr>
          <w:rFonts w:ascii="Times New Roman;serif" w:hAnsi="Times New Roman;serif"/>
          <w:b/>
          <w:color w:val="000000"/>
          <w:sz w:val="22"/>
        </w:rPr>
        <w:t>4.01</w:t>
      </w:r>
      <w:r>
        <w:rPr>
          <w:rFonts w:ascii="Times New Roman;serif" w:hAnsi="Times New Roman;serif"/>
          <w:b/>
          <w:color w:val="000000"/>
          <w:sz w:val="22"/>
          <w:u w:val="single"/>
        </w:rPr>
        <w:t>Conditions of Initial Credit Extension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obligation of any L/C Issuer and each Lender to make its initial Credit Extension hereunder is subject to satisfaction of the following conditions precedent: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Execution of Credit Agreement; Loan Documents</w:t>
      </w:r>
      <w:r>
        <w:rPr>
          <w:rFonts w:ascii="Times New Roman;serif" w:hAnsi="Times New Roman;serif"/>
          <w:b w:val="false"/>
          <w:color w:val="000000"/>
          <w:sz w:val="22"/>
        </w:rPr>
        <w:t xml:space="preserve">. The Administrative Agent shall have received (i) counterparts of this Agreement, executed by a Responsible Officer of each Loan Party and a duly authorized officer of each Lender, (ii) for the account of each Lender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85445"/>
                <wp:effectExtent l="0" t="0" r="0" b="0"/>
                <wp:wrapNone/>
                <wp:docPr id="126" name="Frame1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91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91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requesting a Note, a Note executed by a Responsible Officer of each Borrower, and (iii) counterparts of any other Loan Document, executed by a Responsible Officer of the applicable Loan Party and a duly authorized officer of each other Person party thereto, all of which shall be duly affixed with applicable stamp duty.</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Officer’s Certificate</w:t>
      </w:r>
      <w:r>
        <w:rPr>
          <w:rFonts w:ascii="Times New Roman;serif" w:hAnsi="Times New Roman;serif"/>
          <w:b w:val="false"/>
          <w:color w:val="000000"/>
          <w:sz w:val="22"/>
        </w:rPr>
        <w:t>. The Administrative Agent shall have received an Officer’s Certificate dated the Closing Date, certifying as to the Organization Documents of each Loan Party (which, to the extent filed with a Governmental Authority, other than in respect of a Loan Party organized under the laws of Canada or a Canadian province or territory, shall be certified as of a recent date by such Governmental Authority), the resolutions of the governing body of each Loan Party, the good standing, existence or its equivalent of each Loan Party and of the incumbency (including specimen signatures) of the Responsible Officers of each Loan Party.</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Legal Opinions of Counsel</w:t>
      </w:r>
      <w:r>
        <w:rPr>
          <w:rFonts w:ascii="Times New Roman;serif" w:hAnsi="Times New Roman;serif"/>
          <w:b w:val="false"/>
          <w:color w:val="000000"/>
          <w:sz w:val="22"/>
        </w:rPr>
        <w:t>. The Administrative Agent shall have received an opinion or opinions (including local counsel opinions) of counsel for the Loan Parties, dated the Closing Date and addressed to the Administrative Agent and the Lenders, in form and substance acceptable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Financial Statements</w:t>
      </w:r>
      <w:r>
        <w:rPr>
          <w:rFonts w:ascii="Times New Roman;serif" w:hAnsi="Times New Roman;serif"/>
          <w:b w:val="false"/>
          <w:color w:val="000000"/>
          <w:sz w:val="22"/>
        </w:rPr>
        <w:t xml:space="preserve">. The Administrative Agent and the Lenders shall have received copies of the financial statements referred to in </w:t>
      </w:r>
      <w:r>
        <w:rPr>
          <w:rFonts w:ascii="Times New Roman;serif" w:hAnsi="Times New Roman;serif"/>
          <w:b w:val="false"/>
          <w:color w:val="000000"/>
          <w:sz w:val="22"/>
          <w:u w:val="single"/>
        </w:rPr>
        <w:t>Section 5.05</w:t>
      </w:r>
      <w:r>
        <w:rPr>
          <w:rFonts w:ascii="Times New Roman;serif" w:hAnsi="Times New Roman;serif"/>
          <w:b w:val="false"/>
          <w:color w:val="000000"/>
          <w:sz w:val="22"/>
        </w:rPr>
        <w:t>, each in form and substance satisfactory to each of them.</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Lien Searches</w:t>
      </w:r>
      <w:r>
        <w:rPr>
          <w:rFonts w:ascii="Times New Roman;serif" w:hAnsi="Times New Roman;serif"/>
          <w:b w:val="false"/>
          <w:color w:val="000000"/>
          <w:sz w:val="22"/>
        </w:rPr>
        <w:t>. The Administrative Agent shall have received, in form and substance satisfactory to the Administrative Agent: (A) searches of UCC and PPSA/Bank Act (Canada) filings in the jurisdiction of incorporation or formation, as applicable, of each Loan Party, copies of the financing statements on file in such jurisdictions and evidence that no Liens exist other than Permitted Liens and (B) tax lien, judgment, writs/execution, bankruptcy and insolvency and litigation searches.</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Insurance</w:t>
      </w:r>
      <w:r>
        <w:rPr>
          <w:rFonts w:ascii="Times New Roman;serif" w:hAnsi="Times New Roman;serif"/>
          <w:b w:val="false"/>
          <w:color w:val="000000"/>
          <w:sz w:val="22"/>
        </w:rPr>
        <w:t xml:space="preserve">. The Administrative Agent shall have received evidence that all insurance required to be maintained pursuant to the Loan Documents has been obtained and is in effect and all premiums thereon paid. </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Solvency Certificate</w:t>
      </w:r>
      <w:r>
        <w:rPr>
          <w:rFonts w:ascii="Times New Roman;serif" w:hAnsi="Times New Roman;serif"/>
          <w:b w:val="false"/>
          <w:color w:val="000000"/>
          <w:sz w:val="22"/>
        </w:rPr>
        <w:t>. The Administrative Agent shall have received a Solvency Certificate signed by a Responsible Officer of the Company as to the solvency of the Company, individually, and of the Company and its Subsidiaries, taken together as a group on a consolidated basis, after giving effect to the initial Borrowings under the Loan Documents and the other transactions contemplated hereby.</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Financial Condition Certificate; Compliance Certificate</w:t>
      </w:r>
      <w:r>
        <w:rPr>
          <w:rFonts w:ascii="Times New Roman;serif" w:hAnsi="Times New Roman;serif"/>
          <w:b w:val="false"/>
          <w:color w:val="000000"/>
          <w:sz w:val="22"/>
        </w:rPr>
        <w:t xml:space="preserve">. The Administrative Agent shall have received a (A) certificate or certificates executed by a Responsible Officer of the Company as of the Closing Date, (i) as to certain financial matters, substantially in the form of </w:t>
      </w:r>
      <w:r>
        <w:rPr>
          <w:rFonts w:ascii="Times New Roman;serif" w:hAnsi="Times New Roman;serif"/>
          <w:b w:val="false"/>
          <w:color w:val="000000"/>
          <w:sz w:val="22"/>
          <w:u w:val="single"/>
        </w:rPr>
        <w:t>Exhibit N</w:t>
      </w:r>
      <w:r>
        <w:rPr>
          <w:color w:val="000000"/>
        </w:rPr>
        <w:t xml:space="preserve"> </w:t>
      </w:r>
      <w:r>
        <w:rPr>
          <w:rFonts w:ascii="Times New Roman;serif" w:hAnsi="Times New Roman;serif"/>
          <w:b w:val="false"/>
          <w:color w:val="000000"/>
          <w:sz w:val="22"/>
        </w:rPr>
        <w:t xml:space="preserve">and (ii) that, before and after giving effect to the transaction contemplated hereunder,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and paragraph (l), (o), and (p) of this </w:t>
      </w:r>
      <w:r>
        <w:rPr>
          <w:rFonts w:ascii="Times New Roman;serif" w:hAnsi="Times New Roman;serif"/>
          <w:b w:val="false"/>
          <w:color w:val="000000"/>
          <w:sz w:val="22"/>
          <w:u w:val="single"/>
        </w:rPr>
        <w:t>Section 4.01</w:t>
      </w:r>
      <w:r>
        <w:rPr>
          <w:color w:val="000000"/>
        </w:rPr>
        <w:t xml:space="preserve"> </w:t>
      </w:r>
      <w:r>
        <w:rPr>
          <w:rFonts w:ascii="Times New Roman;serif" w:hAnsi="Times New Roman;serif"/>
          <w:b w:val="false"/>
          <w:color w:val="000000"/>
          <w:sz w:val="22"/>
        </w:rPr>
        <w:t xml:space="preserve">are satisfied and (B) a duly completed Compliance Certificate in form and detail satisfactory to the Administrative Agent and the Lenders, signed by a Responsible Officer of the Company, as of July 31, 2026, after giving effect to the Loans made hereunder on the Closing Date, the consummation of the transactions hereunder and the repayment of indebtedness with the proceeds thereof, evidencing pro forma compliance with each of the financial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Loan Notice</w:t>
      </w:r>
      <w:r>
        <w:rPr>
          <w:rFonts w:ascii="Times New Roman;serif" w:hAnsi="Times New Roman;serif"/>
          <w:b w:val="false"/>
          <w:color w:val="000000"/>
          <w:sz w:val="22"/>
        </w:rPr>
        <w:t>. The Administrative Agent shall have received a Loan Notice with respect to the Loans to be made on the Closing Date, if any.</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Existing Indebtedness of the Loan Parties</w:t>
      </w:r>
      <w:r>
        <w:rPr>
          <w:rFonts w:ascii="Times New Roman;serif" w:hAnsi="Times New Roman;serif"/>
          <w:b w:val="false"/>
          <w:color w:val="000000"/>
          <w:sz w:val="22"/>
        </w:rPr>
        <w:t xml:space="preserve">. All of the existing Indebtedness for borrowed money of the Company and its Subsidiaries (other than Indebtedness permitted to exist pursuant to </w:t>
      </w:r>
      <w:r>
        <w:rPr>
          <w:rFonts w:ascii="Times New Roman;serif" w:hAnsi="Times New Roman;serif"/>
          <w:b w:val="false"/>
          <w:color w:val="000000"/>
          <w:sz w:val="22"/>
          <w:u w:val="single"/>
        </w:rPr>
        <w:t>Section 7.02</w:t>
      </w:r>
      <w:r>
        <w:rPr>
          <w:rFonts w:ascii="Times New Roman;serif" w:hAnsi="Times New Roman;serif"/>
          <w:b w:val="false"/>
          <w:color w:val="000000"/>
          <w:sz w:val="22"/>
        </w:rPr>
        <w:t>) shall be repaid in full and all security interests related thereto shall be terminated on or prior to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85445"/>
                <wp:effectExtent l="0" t="0" r="0" b="0"/>
                <wp:wrapNone/>
                <wp:docPr id="127" name="Frame1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92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92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Anti-Money-Laundering; Beneficial Ownership</w:t>
      </w:r>
      <w:r>
        <w:rPr>
          <w:rFonts w:ascii="Times New Roman;serif" w:hAnsi="Times New Roman;serif"/>
          <w:b w:val="false"/>
          <w:color w:val="000000"/>
          <w:sz w:val="22"/>
        </w:rPr>
        <w:t>. Upon the reasonable request of any Lender, the Loan Parties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and any Loan Party that qualifies as a “legal entity customer” under the Beneficial Ownership Regulation shall have delivered to each Lender that so requests, a Beneficial Ownership Certification in relation to such Loan Party.</w:t>
      </w:r>
    </w:p>
    <w:p>
      <w:pPr>
        <w:pStyle w:val="TextBody"/>
        <w:bidi w:val="0"/>
        <w:spacing w:lineRule="auto" w:line="240"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Consents</w:t>
      </w:r>
      <w:r>
        <w:rPr>
          <w:rFonts w:ascii="Times New Roman;serif" w:hAnsi="Times New Roman;serif"/>
          <w:b w:val="false"/>
          <w:color w:val="000000"/>
          <w:sz w:val="22"/>
        </w:rPr>
        <w:t>. The Administrative Agent shall have received evidence that all members, boards of directors, governmental, shareholder and material third party consents and approvals necessary in connection with the entering into of this Agreement have been obtained.</w:t>
      </w:r>
    </w:p>
    <w:p>
      <w:pPr>
        <w:pStyle w:val="TextBody"/>
        <w:bidi w:val="0"/>
        <w:spacing w:lineRule="auto" w:line="240"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u w:val="single"/>
        </w:rPr>
        <w:t>Fees and Expenses</w:t>
      </w:r>
      <w:r>
        <w:rPr>
          <w:rFonts w:ascii="Times New Roman;serif" w:hAnsi="Times New Roman;serif"/>
          <w:b w:val="false"/>
          <w:color w:val="000000"/>
          <w:sz w:val="22"/>
        </w:rPr>
        <w:t xml:space="preserve">. The Administrative Agent and the Lenders shall have received all fees and reasonable and documented out-of-pocket expenses (including the reasonable and documented out-of-pocket fees and expenses of counsel (including local counsel) for the Administrative Agent, to the extent invoiced at least two (2) Business Days before the Closing Date), if any, owing pursuant to the Fee Letter and </w:t>
      </w:r>
      <w:r>
        <w:rPr>
          <w:rFonts w:ascii="Times New Roman;serif" w:hAnsi="Times New Roman;serif"/>
          <w:b w:val="false"/>
          <w:color w:val="000000"/>
          <w:sz w:val="22"/>
          <w:u w:val="single"/>
        </w:rPr>
        <w:t>Section 2.09</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(n)</w:t>
      </w:r>
      <w:r>
        <w:rPr>
          <w:rFonts w:ascii="Times New Roman;serif" w:hAnsi="Times New Roman;serif"/>
          <w:b w:val="false"/>
          <w:color w:val="000000"/>
          <w:sz w:val="22"/>
          <w:u w:val="single"/>
        </w:rPr>
        <w:t>Licensing Requirements</w:t>
      </w:r>
      <w:r>
        <w:rPr>
          <w:rFonts w:ascii="Times New Roman;serif" w:hAnsi="Times New Roman;serif"/>
          <w:b w:val="false"/>
          <w:color w:val="000000"/>
          <w:sz w:val="22"/>
        </w:rPr>
        <w:t>. Each Lender shall have obtained all applicable licenses, consents, permits and approvals as deemed necessary by such Lender in order to execute and perform the transactions contemplated by the Loan Documents.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(o)</w:t>
      </w:r>
      <w:r>
        <w:rPr>
          <w:rFonts w:ascii="Times New Roman;serif" w:hAnsi="Times New Roman;serif"/>
          <w:b w:val="false"/>
          <w:color w:val="000000"/>
          <w:sz w:val="22"/>
          <w:u w:val="single"/>
        </w:rPr>
        <w:t>Material Adverse Effect</w:t>
      </w:r>
      <w:r>
        <w:rPr>
          <w:rFonts w:ascii="Times New Roman;serif" w:hAnsi="Times New Roman;serif"/>
          <w:b w:val="false"/>
          <w:color w:val="000000"/>
          <w:sz w:val="22"/>
        </w:rPr>
        <w:t>. There shall not have occurred since January 3, 2026 any event or condition that has had or could be reasonably expected, either individually or in the aggregate, to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(p)</w:t>
      </w:r>
      <w:r>
        <w:rPr>
          <w:rFonts w:ascii="Times New Roman;serif" w:hAnsi="Times New Roman;serif"/>
          <w:b w:val="false"/>
          <w:color w:val="000000"/>
          <w:sz w:val="22"/>
          <w:u w:val="single"/>
        </w:rPr>
        <w:t>No Litigation</w:t>
      </w:r>
      <w:r>
        <w:rPr>
          <w:rFonts w:ascii="Times New Roman;serif" w:hAnsi="Times New Roman;serif"/>
          <w:b w:val="false"/>
          <w:color w:val="000000"/>
          <w:sz w:val="22"/>
        </w:rPr>
        <w:t>. The absence of any action, suit, investigation or proceeding pending or, to the knowledge of the Loan Parties, threatened in any court or before any arbitrator or governmental authority that could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(q)</w:t>
      </w:r>
      <w:r>
        <w:rPr>
          <w:rFonts w:ascii="Times New Roman;serif" w:hAnsi="Times New Roman;serif"/>
          <w:b w:val="false"/>
          <w:color w:val="000000"/>
          <w:sz w:val="22"/>
          <w:u w:val="single"/>
        </w:rPr>
        <w:t>Due Diligence</w:t>
      </w:r>
      <w:r>
        <w:rPr>
          <w:rFonts w:ascii="Times New Roman;serif" w:hAnsi="Times New Roman;serif"/>
          <w:b w:val="false"/>
          <w:color w:val="000000"/>
          <w:sz w:val="22"/>
        </w:rPr>
        <w:t>. The Lenders shall have completed a due diligence investigation of the Borrowers and their respective Subsidiaries in scope, and with results, satisfactory to the Lenders.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(r)</w:t>
      </w:r>
      <w:r>
        <w:rPr>
          <w:rFonts w:ascii="Times New Roman;serif" w:hAnsi="Times New Roman;serif"/>
          <w:b w:val="false"/>
          <w:color w:val="000000"/>
          <w:sz w:val="22"/>
          <w:u w:val="single"/>
        </w:rPr>
        <w:t>Other Documents</w:t>
      </w:r>
      <w:r>
        <w:rPr>
          <w:rFonts w:ascii="Times New Roman;serif" w:hAnsi="Times New Roman;serif"/>
          <w:b w:val="false"/>
          <w:color w:val="000000"/>
          <w:sz w:val="22"/>
        </w:rPr>
        <w:t>. All other documents provided for herein or which the Administrative Agent or any other Lender may reasonably request or require.</w:t>
      </w:r>
    </w:p>
    <w:p>
      <w:pPr>
        <w:pStyle w:val="TextBody"/>
        <w:bidi w:val="0"/>
        <w:spacing w:lineRule="auto" w:line="240" w:before="0" w:after="240"/>
        <w:ind w:left="0" w:right="0" w:firstLine="720"/>
        <w:jc w:val="both"/>
        <w:rPr/>
      </w:pPr>
      <w:r>
        <w:rPr>
          <w:rFonts w:ascii="Times New Roman;serif" w:hAnsi="Times New Roman;serif"/>
          <w:b w:val="false"/>
          <w:color w:val="000000"/>
          <w:sz w:val="22"/>
        </w:rPr>
        <w:t>(s)</w:t>
      </w:r>
      <w:r>
        <w:rPr>
          <w:rFonts w:ascii="Times New Roman;serif" w:hAnsi="Times New Roman;serif"/>
          <w:b w:val="false"/>
          <w:color w:val="000000"/>
          <w:sz w:val="22"/>
          <w:u w:val="single"/>
        </w:rPr>
        <w:t>Additional Information</w:t>
      </w:r>
      <w:r>
        <w:rPr>
          <w:rFonts w:ascii="Times New Roman;serif" w:hAnsi="Times New Roman;serif"/>
          <w:b w:val="false"/>
          <w:color w:val="000000"/>
          <w:sz w:val="22"/>
        </w:rPr>
        <w:t>. Such additional information and materials which the Administrative Agent and/or any Lender shall reasonably request or require.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Without limiting the generality of the provisions of </w:t>
      </w:r>
      <w:r>
        <w:rPr>
          <w:rFonts w:ascii="Times New Roman;serif" w:hAnsi="Times New Roman;serif"/>
          <w:b w:val="false"/>
          <w:color w:val="000000"/>
          <w:sz w:val="22"/>
          <w:u w:val="single"/>
        </w:rPr>
        <w:t>Section 9.03(c</w:t>
      </w:r>
      <w:r>
        <w:rPr>
          <w:rFonts w:ascii="Times New Roman;serif" w:hAnsi="Times New Roman;serif"/>
          <w:b w:val="false"/>
          <w:color w:val="000000"/>
          <w:sz w:val="22"/>
        </w:rPr>
        <w:t xml:space="preserve">), for purposes of determining compliance with the conditions specified in this </w:t>
      </w:r>
      <w:r>
        <w:rPr>
          <w:rFonts w:ascii="Times New Roman;serif" w:hAnsi="Times New Roman;serif"/>
          <w:b w:val="false"/>
          <w:color w:val="000000"/>
          <w:sz w:val="22"/>
          <w:u w:val="single"/>
        </w:rPr>
        <w:t>Section 4.01</w:t>
      </w:r>
      <w:r>
        <w:rPr>
          <w:rFonts w:ascii="Times New Roman;serif" w:hAnsi="Times New Roman;serif"/>
          <w:b w:val="false"/>
          <w:color w:val="000000"/>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lineRule="auto" w:line="240" w:before="0" w:after="240"/>
        <w:ind w:left="0" w:right="0" w:firstLine="720"/>
        <w:jc w:val="both"/>
        <w:rPr/>
      </w:pPr>
      <w:r>
        <w:rPr>
          <w:rFonts w:ascii="Times New Roman;serif" w:hAnsi="Times New Roman;serif"/>
          <w:b/>
          <w:color w:val="000000"/>
          <w:sz w:val="22"/>
        </w:rPr>
        <w:t>4.02</w:t>
      </w:r>
      <w:r>
        <w:rPr>
          <w:rFonts w:ascii="Times New Roman;serif" w:hAnsi="Times New Roman;serif"/>
          <w:b/>
          <w:color w:val="000000"/>
          <w:sz w:val="22"/>
          <w:u w:val="single"/>
        </w:rPr>
        <w:t>Conditions to all Credit Extensions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obligation of each Lender and the L/C Issuer to honor any Request for Credit Extension (other than a Loan Notice requesting only a continuation or conversion of an existing a Loan in accordance with Section 2.02, provided that there is no increase of the amount of such existing Loan) is subject to the following conditions precedent: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85445"/>
                <wp:effectExtent l="0" t="0" r="0" b="0"/>
                <wp:wrapNone/>
                <wp:docPr id="128" name="Frame1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93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93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xml:space="preserve">. The representations and warranties of each Borrower and each other Loan Party contained in </w:t>
      </w:r>
      <w:r>
        <w:rPr>
          <w:rFonts w:ascii="Times New Roman;serif" w:hAnsi="Times New Roman;serif"/>
          <w:b w:val="false"/>
          <w:color w:val="000000"/>
          <w:sz w:val="22"/>
          <w:u w:val="single"/>
        </w:rPr>
        <w:t>Article 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 xml:space="preserve">or any other Loan Document, or which are contained in any document furnished at any time under or in connection herewith or therewith, shall (i) with respect to representations and warranties that contain a materiality qualification, be true and correct on and as of the date of such Credit Extension and (ii) with respect to representations and warranties that do not contain a materiality qualification, be true and correct in all material respects on and as of the date of such Credit Extension, except to the extent that such representations and warranties specifically refer to an earlier date, in which case they shall (A) with respect to representations and warranties that contain a materiality qualification, have been true and correct in all respects as of such earlier date and (B) with respect to representations and warranties that do not contain a materiality qualification, have been true and correct in all material respects as of such earlier date and except that for purposes of this </w:t>
      </w:r>
      <w:r>
        <w:rPr>
          <w:rFonts w:ascii="Times New Roman;serif" w:hAnsi="Times New Roman;serif"/>
          <w:b w:val="false"/>
          <w:color w:val="000000"/>
          <w:sz w:val="22"/>
          <w:u w:val="single"/>
        </w:rPr>
        <w:t>Section 4.02</w:t>
      </w:r>
      <w:r>
        <w:rPr>
          <w:rFonts w:ascii="Times New Roman;serif" w:hAnsi="Times New Roman;serif"/>
          <w:b w:val="false"/>
          <w:color w:val="000000"/>
          <w:sz w:val="22"/>
        </w:rPr>
        <w:t xml:space="preserve">, the representations and warranties contained in </w:t>
      </w:r>
      <w:r>
        <w:rPr>
          <w:rFonts w:ascii="Times New Roman;serif" w:hAnsi="Times New Roman;serif"/>
          <w:b w:val="false"/>
          <w:color w:val="000000"/>
          <w:sz w:val="22"/>
          <w:u w:val="single"/>
        </w:rPr>
        <w:t>Sections 5.05(a</w:t>
      </w:r>
      <w:r>
        <w:rPr>
          <w:rFonts w:ascii="Times New Roman;serif" w:hAnsi="Times New Roman;serif"/>
          <w:b w:val="false"/>
          <w:color w:val="000000"/>
          <w:sz w:val="22"/>
        </w:rPr>
        <w:t>) and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shall be deemed to refer to the most recent statements furnished pursuant to </w:t>
      </w:r>
      <w:r>
        <w:rPr>
          <w:rFonts w:ascii="Times New Roman;serif" w:hAnsi="Times New Roman;serif"/>
          <w:b w:val="false"/>
          <w:color w:val="000000"/>
          <w:sz w:val="22"/>
          <w:u w:val="single"/>
        </w:rPr>
        <w:t>Sections 6.01(a</w:t>
      </w:r>
      <w:r>
        <w:rPr>
          <w:rFonts w:ascii="Times New Roman;serif" w:hAnsi="Times New Roman;serif"/>
          <w:b w:val="false"/>
          <w:color w:val="000000"/>
          <w:sz w:val="22"/>
        </w:rPr>
        <w:t>) and (</w:t>
      </w:r>
      <w:r>
        <w:rPr>
          <w:rFonts w:ascii="Times New Roman;serif" w:hAnsi="Times New Roman;serif"/>
          <w:b w:val="false"/>
          <w:color w:val="000000"/>
          <w:sz w:val="22"/>
          <w:u w:val="single"/>
        </w:rPr>
        <w:t>b</w:t>
      </w:r>
      <w:r>
        <w:rPr>
          <w:rFonts w:ascii="Times New Roman;serif" w:hAnsi="Times New Roman;serif"/>
          <w:b w:val="false"/>
          <w:color w:val="000000"/>
          <w:sz w:val="22"/>
        </w:rPr>
        <w:t>), respectively.</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Default</w:t>
      </w:r>
      <w:r>
        <w:rPr>
          <w:rFonts w:ascii="Times New Roman;serif" w:hAnsi="Times New Roman;serif"/>
          <w:b w:val="false"/>
          <w:color w:val="000000"/>
          <w:sz w:val="22"/>
        </w:rPr>
        <w:t>. No Default shall exist, or would result from such proposed Credit Extension or from the application of the proceeds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Request for Credit Extension</w:t>
      </w:r>
      <w:r>
        <w:rPr>
          <w:rFonts w:ascii="Times New Roman;serif" w:hAnsi="Times New Roman;serif"/>
          <w:b w:val="false"/>
          <w:color w:val="000000"/>
          <w:sz w:val="22"/>
        </w:rPr>
        <w:t>. The Administrative Agent and, if applicable, the applicable L/C Issuer or the Swingline Lender, shall have received a Request for Credit Extension in accordance with the requirements 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Alternative Currency</w:t>
      </w:r>
      <w:r>
        <w:rPr>
          <w:rFonts w:ascii="Times New Roman;serif" w:hAnsi="Times New Roman;serif"/>
          <w:b w:val="false"/>
          <w:color w:val="000000"/>
          <w:sz w:val="22"/>
        </w:rPr>
        <w:t>. In the case of a Credit Extension to be denominated in an Alternative Currency, such currency remains an Eligible Currency.</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Legal Impediment</w:t>
      </w:r>
      <w:r>
        <w:rPr>
          <w:rFonts w:ascii="Times New Roman;serif" w:hAnsi="Times New Roman;serif"/>
          <w:b w:val="false"/>
          <w:color w:val="000000"/>
          <w:sz w:val="22"/>
        </w:rPr>
        <w:t>. There shall be no impediment, restriction, limitation or prohibition imposed under Law or by any Governmental Authority, as to the proposed financing under this Agreement or the repayment thereof or as to rights created under any Loan Document or as to application of the proceeds of the realization of any such rights, and the requested Credit Extension shall not violate any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Request for Credit Extension (other than a Loan Notice requesting only a continuation or conversion of an existing Loan in accordance with Section 2.02, provided that there is no increase of the amount of such existing Loan) submitted by the Borrowers shall be deemed to be a representation and warranty that the conditions specified in </w:t>
      </w:r>
      <w:r>
        <w:rPr>
          <w:rFonts w:ascii="Times New Roman;serif" w:hAnsi="Times New Roman;serif"/>
          <w:b w:val="false"/>
          <w:color w:val="000000"/>
          <w:sz w:val="22"/>
          <w:u w:val="single"/>
        </w:rPr>
        <w:t>Sections 4.02</w:t>
      </w:r>
      <w:r>
        <w:rPr>
          <w:color w:val="000000"/>
        </w:rPr>
        <w:t xml:space="preserve"> </w:t>
      </w:r>
      <w:r>
        <w:rPr>
          <w:rFonts w:ascii="Times New Roman;serif" w:hAnsi="Times New Roman;serif"/>
          <w:b w:val="false"/>
          <w:color w:val="000000"/>
          <w:sz w:val="22"/>
        </w:rPr>
        <w:t>have been satisfied on and as of the date of the applicable Credit Extension.</w:t>
      </w:r>
    </w:p>
    <w:p>
      <w:pPr>
        <w:pStyle w:val="TextBody"/>
        <w:bidi w:val="0"/>
        <w:spacing w:lineRule="auto" w:line="240" w:before="0" w:after="240"/>
        <w:jc w:val="center"/>
        <w:rPr/>
      </w:pPr>
      <w:r>
        <w:rPr>
          <w:rFonts w:ascii="Times New Roman;serif" w:hAnsi="Times New Roman;serif"/>
          <w:b/>
          <w:color w:val="000000"/>
          <w:sz w:val="22"/>
        </w:rPr>
        <w:t>Article V</w:t>
      </w:r>
      <w:r>
        <w:rPr>
          <w:rFonts w:ascii="Times New Roman;serif" w:hAnsi="Times New Roman;serif"/>
          <w:b/>
          <w:color w:val="000000"/>
          <w:sz w:val="22"/>
        </w:rPr>
        <w:br/>
        <w:br/>
        <w:t>REPRESENTATIONS AND WARRANTIES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Loan Party represents and warrants to the Administrative Agent and the Lenders, as of the date made or deemed made, that:</w:t>
      </w:r>
    </w:p>
    <w:p>
      <w:pPr>
        <w:pStyle w:val="TextBody"/>
        <w:bidi w:val="0"/>
        <w:spacing w:lineRule="auto" w:line="240" w:before="0" w:after="240"/>
        <w:ind w:left="0" w:right="0" w:firstLine="720"/>
        <w:jc w:val="both"/>
        <w:rPr/>
      </w:pPr>
      <w:r>
        <w:rPr>
          <w:rFonts w:ascii="Times New Roman;serif" w:hAnsi="Times New Roman;serif"/>
          <w:b/>
          <w:color w:val="000000"/>
          <w:sz w:val="22"/>
        </w:rPr>
        <w:t>5.01</w:t>
      </w:r>
      <w:r>
        <w:rPr>
          <w:rFonts w:ascii="Times New Roman;serif" w:hAnsi="Times New Roman;serif"/>
          <w:b/>
          <w:color w:val="000000"/>
          <w:sz w:val="22"/>
          <w:u w:val="single"/>
        </w:rPr>
        <w:t>Existence, Qualification and Power</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Each Loan Party and each of its Subsidiaries (a) is duly organized or formed, validly existing and, as applicable, in good standing (to the extent such concept exists in such jurisdiction)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(to the extent such concept exists in such jurisdiction) under the Laws of each jurisdiction where its ownership,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85445"/>
                <wp:effectExtent l="0" t="0" r="0" b="0"/>
                <wp:wrapNone/>
                <wp:docPr id="129" name="Frame1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94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94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lease or operation of properties or the conduct of its business requires such qualification or license; except in each case referred to in </w:t>
      </w:r>
      <w:r>
        <w:rPr>
          <w:rFonts w:ascii="Times New Roman;serif" w:hAnsi="Times New Roman;serif"/>
          <w:b w:val="false"/>
          <w:color w:val="000000"/>
          <w:sz w:val="22"/>
          <w:u w:val="single"/>
        </w:rPr>
        <w:t>clause (b)(i</w:t>
      </w:r>
      <w:r>
        <w:rPr>
          <w:rFonts w:ascii="Times New Roman;serif" w:hAnsi="Times New Roman;serif"/>
          <w:b w:val="false"/>
          <w:color w:val="000000"/>
          <w:sz w:val="22"/>
        </w:rPr>
        <w:t>) or (</w:t>
      </w:r>
      <w:r>
        <w:rPr>
          <w:rFonts w:ascii="Times New Roman;serif" w:hAnsi="Times New Roman;serif"/>
          <w:b w:val="false"/>
          <w:color w:val="000000"/>
          <w:sz w:val="22"/>
          <w:u w:val="single"/>
        </w:rPr>
        <w:t>c</w:t>
      </w:r>
      <w:r>
        <w:rPr>
          <w:rFonts w:ascii="Times New Roman;serif" w:hAnsi="Times New Roman;serif"/>
          <w:b w:val="false"/>
          <w:color w:val="000000"/>
          <w:sz w:val="22"/>
        </w:rPr>
        <w:t>), to the extent that failure to do so could not reasonably be expected to have a Material Adverse Effect. The copy of the Organization Documents of each Loan Party provided to the Administrative Agent pursuant to the terms of this Agreement is a true and correct copy of each such document, each of which is valid and in full force and effect.</w:t>
      </w:r>
    </w:p>
    <w:p>
      <w:pPr>
        <w:pStyle w:val="TextBody"/>
        <w:bidi w:val="0"/>
        <w:spacing w:lineRule="auto" w:line="240" w:before="0" w:after="240"/>
        <w:ind w:left="0" w:right="0" w:firstLine="720"/>
        <w:jc w:val="both"/>
        <w:rPr/>
      </w:pPr>
      <w:r>
        <w:rPr>
          <w:rFonts w:ascii="Times New Roman;serif" w:hAnsi="Times New Roman;serif"/>
          <w:b/>
          <w:color w:val="000000"/>
          <w:sz w:val="22"/>
        </w:rPr>
        <w:t>5.02</w:t>
      </w:r>
      <w:r>
        <w:rPr>
          <w:rFonts w:ascii="Times New Roman;serif" w:hAnsi="Times New Roman;serif"/>
          <w:b/>
          <w:color w:val="000000"/>
          <w:sz w:val="22"/>
          <w:u w:val="single"/>
        </w:rPr>
        <w:t>Authorization; No Contravention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execution, delivery and performance by each Loan Party of each Loan Document to which such Person is or is to be a party have been duly authorized by all necessary corporate or other organizational action, and do not and will not (a) contravene the terms of any of such Person’s Organization Documents; (b) conflict with or result in any breach or contravention of, or the creation of (or the requirement to create)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except, in the case of each of clauses (i) and (ii), as could not reasonably be expected to have a Material Adverse Effect; or (c) violate any Applicable Law in any material respect.</w:t>
      </w:r>
    </w:p>
    <w:p>
      <w:pPr>
        <w:pStyle w:val="TextBody"/>
        <w:bidi w:val="0"/>
        <w:spacing w:lineRule="auto" w:line="240" w:before="0" w:after="240"/>
        <w:ind w:left="0" w:right="0" w:firstLine="720"/>
        <w:jc w:val="both"/>
        <w:rPr/>
      </w:pPr>
      <w:r>
        <w:rPr>
          <w:rFonts w:ascii="Times New Roman;serif" w:hAnsi="Times New Roman;serif"/>
          <w:b/>
          <w:color w:val="000000"/>
          <w:sz w:val="22"/>
        </w:rPr>
        <w:t>5.03</w:t>
      </w:r>
      <w:r>
        <w:rPr>
          <w:rFonts w:ascii="Times New Roman;serif" w:hAnsi="Times New Roman;serif"/>
          <w:b/>
          <w:color w:val="000000"/>
          <w:sz w:val="22"/>
          <w:u w:val="single"/>
        </w:rPr>
        <w:t>Governmental Authorization; Other Consents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 material approval, consent, exemption, authorization, or other action by, or notice to, or filing with, any Governmental Authority or any other Person is necessary or required in connection with the execution, delivery or performance by any Loan Party of this Agreement or any other Loan Document, except (a) approvals, consents, exemptions, authorizations, actions, notices and filings that have been duly obtained, taken, given or made and are in full force and effect, and (b) filings by the Loan Parties with the SEC in connection with their disclosure of this Agreement and the other Loan Documents. </w:t>
      </w:r>
    </w:p>
    <w:p>
      <w:pPr>
        <w:pStyle w:val="TextBody"/>
        <w:bidi w:val="0"/>
        <w:spacing w:lineRule="auto" w:line="240" w:before="0" w:after="240"/>
        <w:ind w:left="0" w:right="0" w:firstLine="720"/>
        <w:jc w:val="both"/>
        <w:rPr/>
      </w:pPr>
      <w:r>
        <w:rPr>
          <w:rFonts w:ascii="Times New Roman;serif" w:hAnsi="Times New Roman;serif"/>
          <w:b/>
          <w:color w:val="000000"/>
          <w:sz w:val="22"/>
        </w:rPr>
        <w:t>5.04</w:t>
      </w:r>
      <w:r>
        <w:rPr>
          <w:rFonts w:ascii="Times New Roman;serif" w:hAnsi="Times New Roman;serif"/>
          <w:b/>
          <w:color w:val="000000"/>
          <w:sz w:val="22"/>
          <w:u w:val="single"/>
        </w:rPr>
        <w:t>Binding Effect</w:t>
      </w:r>
      <w:r>
        <w:rPr>
          <w:rFonts w:ascii="Times New Roman;serif" w:hAnsi="Times New Roman;serif"/>
          <w:b/>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subject to applicable bankruptcy, insolvency, restructuring, reorganization, moratorium, fraudulent transfer or other laws affecting creditors’ rights generally and subject to general principals of equity and good faith.</w:t>
      </w:r>
    </w:p>
    <w:p>
      <w:pPr>
        <w:pStyle w:val="TextBody"/>
        <w:bidi w:val="0"/>
        <w:spacing w:lineRule="auto" w:line="240" w:before="0" w:after="240"/>
        <w:ind w:left="0" w:right="0" w:firstLine="720"/>
        <w:jc w:val="both"/>
        <w:rPr/>
      </w:pPr>
      <w:r>
        <w:rPr>
          <w:rFonts w:ascii="Times New Roman;serif" w:hAnsi="Times New Roman;serif"/>
          <w:b/>
          <w:color w:val="000000"/>
          <w:sz w:val="22"/>
        </w:rPr>
        <w:t>5.05</w:t>
      </w:r>
      <w:r>
        <w:rPr>
          <w:rFonts w:ascii="Times New Roman;serif" w:hAnsi="Times New Roman;serif"/>
          <w:b/>
          <w:color w:val="000000"/>
          <w:sz w:val="22"/>
          <w:u w:val="single"/>
        </w:rPr>
        <w:t>Financial Statements; No Material Adverse Effect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Audited Financial Statements</w:t>
      </w:r>
      <w:r>
        <w:rPr>
          <w:rFonts w:ascii="Times New Roman;serif" w:hAnsi="Times New Roman;serif"/>
          <w:b w:val="false"/>
          <w:color w:val="000000"/>
          <w:sz w:val="22"/>
        </w:rPr>
        <w:t>. The Audited Financial Statements (i) were prepared in accordance with GAAP consistently applied throughout the period covered thereby, except as otherwise expressly noted therein; (ii) fairly present the financial condition of the Company and its Subsidiaries as of the date thereof and their results of operations, cash flows and changes in Shareholders’ Equity for the period covered thereby in accordance with GAAP consistently applied throughout the period covered thereby, except as otherwise expressly noted therein; and (iii) show all material indebtedness and other liabilities, direct or contingent, of the Company and its Subsidiaries as of the date thereof, including liabilities for taxes, material commitments and Indebtedness.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Quarterly Financial Statements</w:t>
      </w:r>
      <w:r>
        <w:rPr>
          <w:rFonts w:ascii="Times New Roman;serif" w:hAnsi="Times New Roman;serif"/>
          <w:b w:val="false"/>
          <w:color w:val="000000"/>
          <w:sz w:val="22"/>
        </w:rPr>
        <w:t xml:space="preserve">. The unaudited Consolidated balance sheet of the Company and its Subsidiaries dated April 4, 2026, and the related Consolidated statements of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85445"/>
                <wp:effectExtent l="0" t="0" r="0" b="0"/>
                <wp:wrapNone/>
                <wp:docPr id="130" name="Frame1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95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95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income or operations, Shareholders’ Equity and cash flows for the fiscal quarter ended on that date (i) were prepared in accordance with GAAP consistently applied throughout the period covered thereby, except as otherwise expressly noted therein, and (ii) fairly present in all material respects the financial condition of the Company and its Subsidiaries as of the date thereof and their results of operations, cash flows and changes in Shareholders’ Equity for the period covered thereby, subject, in the case of </w:t>
      </w:r>
      <w:r>
        <w:rPr>
          <w:rFonts w:ascii="Times New Roman;serif" w:hAnsi="Times New Roman;serif"/>
          <w:b w:val="false"/>
          <w:color w:val="000000"/>
          <w:sz w:val="22"/>
          <w:u w:val="single"/>
        </w:rPr>
        <w:t>clauses (i</w:t>
      </w:r>
      <w:r>
        <w:rPr>
          <w:rFonts w:ascii="Times New Roman;serif" w:hAnsi="Times New Roman;serif"/>
          <w:b w:val="false"/>
          <w:color w:val="000000"/>
          <w:sz w:val="22"/>
        </w:rPr>
        <w:t>) and (</w:t>
      </w:r>
      <w:r>
        <w:rPr>
          <w:rFonts w:ascii="Times New Roman;serif" w:hAnsi="Times New Roman;serif"/>
          <w:b w:val="false"/>
          <w:color w:val="000000"/>
          <w:sz w:val="22"/>
          <w:u w:val="single"/>
        </w:rPr>
        <w:t>ii</w:t>
      </w:r>
      <w:r>
        <w:rPr>
          <w:rFonts w:ascii="Times New Roman;serif" w:hAnsi="Times New Roman;serif"/>
          <w:b w:val="false"/>
          <w:color w:val="000000"/>
          <w:sz w:val="22"/>
        </w:rPr>
        <w:t>), to the absence of footnotes and to normal year-end audit adjustments.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Material Adverse Effect</w:t>
      </w:r>
      <w:r>
        <w:rPr>
          <w:rFonts w:ascii="Times New Roman;serif" w:hAnsi="Times New Roman;serif"/>
          <w:b w:val="false"/>
          <w:color w:val="000000"/>
          <w:sz w:val="22"/>
        </w:rPr>
        <w:t>. Since the date of the most recent balance sheet included in the Audited Financial Statements, there has been no event or circumstance, either individually or in the aggregate, that has had or could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Forecasted Financials</w:t>
      </w:r>
      <w:r>
        <w:rPr>
          <w:rFonts w:ascii="Times New Roman;serif" w:hAnsi="Times New Roman;serif"/>
          <w:b w:val="false"/>
          <w:color w:val="000000"/>
          <w:sz w:val="22"/>
        </w:rPr>
        <w:t xml:space="preserve">. The Consolidated forecasted balance sheets, statements of income and cash flows of the Company and its Subsidiaries delivered pursuant to </w:t>
      </w:r>
      <w:r>
        <w:rPr>
          <w:rFonts w:ascii="Times New Roman;serif" w:hAnsi="Times New Roman;serif"/>
          <w:b w:val="false"/>
          <w:color w:val="000000"/>
          <w:sz w:val="22"/>
          <w:u w:val="single"/>
        </w:rPr>
        <w:t>Section 4.01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were prepared in good faith on the basis of the assumptions stated therein, which assumptions were believed by the Company and its Subsidiaries to be reasonable in light of the conditions existing at the time of delivery of such forecasts (it being understood that forecasts and projections are not statements of fact, actual results may differ, and any such differences may be material).</w:t>
      </w:r>
    </w:p>
    <w:p>
      <w:pPr>
        <w:pStyle w:val="TextBody"/>
        <w:bidi w:val="0"/>
        <w:spacing w:lineRule="auto" w:line="240" w:before="0" w:after="240"/>
        <w:ind w:left="0" w:right="0" w:firstLine="720"/>
        <w:jc w:val="both"/>
        <w:rPr/>
      </w:pPr>
      <w:r>
        <w:rPr>
          <w:rFonts w:ascii="Times New Roman;serif" w:hAnsi="Times New Roman;serif"/>
          <w:b/>
          <w:color w:val="000000"/>
          <w:sz w:val="22"/>
        </w:rPr>
        <w:t>5.06</w:t>
      </w:r>
      <w:r>
        <w:rPr>
          <w:rFonts w:ascii="Times New Roman;serif" w:hAnsi="Times New Roman;serif"/>
          <w:b/>
          <w:color w:val="000000"/>
          <w:sz w:val="22"/>
          <w:u w:val="single"/>
        </w:rPr>
        <w:t>Litigation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actions, suits, proceedings, claims or disputes pending or, to the knowledge of the Loan Parties after due and diligent investigation, threatened or contemplated, at law, in equity, in arbitration or before any Governmental Authority, by or against any Loan Party or any Subsidiary or against any of their properties or revenues that (a) purport to affect or pertain to this Agreement or any other Loan Document or any of the transactions contemplated hereby, or (b) either individually or in the aggregate could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color w:val="000000"/>
          <w:sz w:val="22"/>
        </w:rPr>
        <w:t>5.07</w:t>
      </w:r>
      <w:r>
        <w:rPr>
          <w:rFonts w:ascii="Times New Roman;serif" w:hAnsi="Times New Roman;serif"/>
          <w:b/>
          <w:color w:val="000000"/>
          <w:sz w:val="22"/>
          <w:u w:val="single"/>
        </w:rPr>
        <w:t>No Default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Neither any Loan Party nor any Subsidiary thereof is in default under or with respect to, or a party to, any 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pStyle w:val="TextBody"/>
        <w:bidi w:val="0"/>
        <w:spacing w:lineRule="auto" w:line="240" w:before="0" w:after="240"/>
        <w:ind w:left="0" w:right="0" w:firstLine="720"/>
        <w:jc w:val="both"/>
        <w:rPr/>
      </w:pPr>
      <w:r>
        <w:rPr>
          <w:rFonts w:ascii="Times New Roman;serif" w:hAnsi="Times New Roman;serif"/>
          <w:b/>
          <w:color w:val="000000"/>
          <w:sz w:val="22"/>
        </w:rPr>
        <w:t>5.08</w:t>
      </w:r>
      <w:r>
        <w:rPr>
          <w:rFonts w:ascii="Times New Roman;serif" w:hAnsi="Times New Roman;serif"/>
          <w:b/>
          <w:color w:val="000000"/>
          <w:sz w:val="22"/>
          <w:u w:val="single"/>
        </w:rPr>
        <w:t>Ownership of Property</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Loan Party and each of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 No Loan Party, other than the UK Borrower, is the registered proprietor of any real estate situated in the United Kingdom or, in the case of any other Loan Party, in circumstances where the holding of such real estate is for normal commercial purposes and such holding and the reasons therefor have been disclosed in advance in writing to and approved by the Administrative Agent and is in compliance with the terms of the United Kingdom Economic Crime (Transparency and Enforcement) Act 2022.</w:t>
      </w:r>
    </w:p>
    <w:p>
      <w:pPr>
        <w:pStyle w:val="TextBody"/>
        <w:bidi w:val="0"/>
        <w:spacing w:lineRule="auto" w:line="240" w:before="0" w:after="240"/>
        <w:ind w:left="0" w:right="0" w:firstLine="720"/>
        <w:jc w:val="both"/>
        <w:rPr/>
      </w:pPr>
      <w:r>
        <w:rPr>
          <w:rFonts w:ascii="Times New Roman;serif" w:hAnsi="Times New Roman;serif"/>
          <w:b/>
          <w:color w:val="000000"/>
          <w:sz w:val="22"/>
        </w:rPr>
        <w:t>5.09</w:t>
      </w:r>
      <w:r>
        <w:rPr>
          <w:rFonts w:ascii="Times New Roman;serif" w:hAnsi="Times New Roman;serif"/>
          <w:b/>
          <w:color w:val="000000"/>
          <w:sz w:val="22"/>
          <w:u w:val="single"/>
        </w:rPr>
        <w:t>Environmental Matters</w:t>
      </w:r>
      <w:r>
        <w:rPr>
          <w:rFonts w:ascii="Times New Roman;serif" w:hAnsi="Times New Roman;serif"/>
          <w:b/>
          <w:color w:val="000000"/>
          <w:sz w:val="22"/>
        </w:rPr>
        <w:t>.</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(a)Except as could not, individually or in the aggregate, reasonably be expected to result in any Material Adverse Effect on any of the Loan Parties or any of their respective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85445"/>
                <wp:effectExtent l="0" t="0" r="0" b="0"/>
                <wp:wrapNone/>
                <wp:docPr id="131" name="Frame1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96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96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(i)(A) None</w:t>
      </w:r>
      <w:r>
        <w:rPr>
          <w:color w:val="000000"/>
        </w:rPr>
        <w:t xml:space="preserve"> </w:t>
      </w:r>
      <w:r>
        <w:rPr>
          <w:rFonts w:ascii="Times New Roman;serif" w:hAnsi="Times New Roman;serif"/>
          <w:b w:val="false"/>
          <w:color w:val="000000"/>
          <w:sz w:val="22"/>
        </w:rPr>
        <w:t>of the properties currently or formerly owned, leased or operated by any Loan Party or any of its Subsidiaries is listed or formally proposed for listing on the National Priorities List under the Comprehensive Environmental Response, Compensation and Liability Act of 1980 or on the Comprehensive Environmental Response, Compensation and Liability Information System maintained by the U.S. Environmental Protection Agency or any analogous foreign, state or local list or is adjacent to any such property; (B) there are no, and to the best knowledge of the Loan Parties and their Subsidiaries never have been any underground or above-ground storage tanks or any surface impoundments, septic tanks, pits, sumps or lagoons in which Hazardous Materials are being or have been treated, stored or disposed on any property currently owned, leased or operated by any Loan Party or any of its Subsidiaries or, to the best of the knowledge of the Loan Parties, on any property formerly owned, leased or operated by any Loan Party or any of its Subsidiaries; (C) there is no and never has been any asbestos or asbestos-containing material on, at or in any property currently owned, leased or operated by any Loan Party or any of its Subsidiaries; (D) Hazardous Materials have not been released on, at, under or from any property currently or formerly owned, leased or operated by any Loan Party or any of its Subsidiaries or any property by or on behalf, or otherwise arising from the operations, of any Loan Party or any of its Subsidiaries; and (E) no Loan Party or any of its Subsidiaries has become subject to any Environmental Liability or knows of any facts or circumstances that could reasonably be expected to give rise to any Environmental Liability;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(ii)(A) Neither any Loan Party nor any of its Subsidiaries is undertaking, and has not completed, either individually or together with other potentially responsible parties, any investigation or assessment or remedial or response action relating to any actual or threatened Release of Hazardous Materials at, on, under, or from any site, location or operation, either voluntarily or pursuant to the order of any Governmental Authority or the requirements of any Environmental Law; and (B) all Hazardous Materials generated, used, treated, handled or stored at, or transported to or from, any property currently or formerly owned, leased or operated by any Loan Party or any of its Subsidiaries have been disposed of in a manner which could not reasonably expected to result in liability to any Loan Party or any of its Subsidiaries;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(iii)The Loan Parties and their respective Subsidiaries: (A) are, and within the period of all applicable statutes of limitation have been, in compliance with all applicable Environmental Laws; (B) hold all Environmental Permits (each of which is in full force and effect) required for any of their current or intended operations or for any property owned, leased, or otherwise operated by any of them; (C) are, and within the period of all applicable statutes of limitation have been, in compliance with all of their Environmental Permits; (D) to the extent within the control of the Loan Parties and their respective Subsidiaries, will timely renew and comply with each of their Environmental Permits and any additional Environmental permits that may be required of any of them without material expense, and timely comply with any current, future or potential Environmental Law without material expense; and (E) are not aware of any requirements proposed for adoption or implementation under any Environmental Law.</w:t>
      </w:r>
    </w:p>
    <w:p>
      <w:pPr>
        <w:pStyle w:val="TextBody"/>
        <w:bidi w:val="0"/>
        <w:spacing w:lineRule="auto" w:line="240" w:before="0" w:after="240"/>
        <w:ind w:left="0" w:right="0" w:firstLine="720"/>
        <w:jc w:val="both"/>
        <w:rPr/>
      </w:pPr>
      <w:r>
        <w:rPr>
          <w:rFonts w:ascii="Times New Roman;serif" w:hAnsi="Times New Roman;serif"/>
          <w:b/>
          <w:color w:val="000000"/>
          <w:sz w:val="22"/>
        </w:rPr>
        <w:t>5.10</w:t>
      </w:r>
      <w:r>
        <w:rPr>
          <w:rFonts w:ascii="Times New Roman;serif" w:hAnsi="Times New Roman;serif"/>
          <w:b/>
          <w:color w:val="000000"/>
          <w:sz w:val="22"/>
          <w:u w:val="single"/>
        </w:rPr>
        <w:t>Insurance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properties of the Company and its Subsidiaries are insured with financially sound and reputable insurance companies not Affiliates of the Company, in such amounts, with such deductibles and covering such risks as are customarily carried by companies engaged in similar businesses and owning similar properties in localities where the applicable Loan Party or the applicable Subsidiary operates. The general liability, casualty, property, business interruption and other insurance coverage of the Loan Parties as in effect on the Closing Date, and as of the last date such Schedule was required to be updated in accordance with </w:t>
      </w:r>
      <w:r>
        <w:rPr>
          <w:rFonts w:ascii="Times New Roman;serif" w:hAnsi="Times New Roman;serif"/>
          <w:b w:val="false"/>
          <w:color w:val="000000"/>
          <w:sz w:val="22"/>
          <w:u w:val="single"/>
        </w:rPr>
        <w:t>Sections 6.02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6.13</w:t>
      </w:r>
      <w:r>
        <w:rPr>
          <w:rFonts w:ascii="Times New Roman;serif" w:hAnsi="Times New Roman;serif"/>
          <w:b w:val="false"/>
          <w:color w:val="000000"/>
          <w:sz w:val="22"/>
        </w:rPr>
        <w:t xml:space="preserve">, is outlined as to carrier, policy number, expiration date, type, amount and deductibles on </w:t>
      </w:r>
      <w:r>
        <w:rPr>
          <w:rFonts w:ascii="Times New Roman;serif" w:hAnsi="Times New Roman;serif"/>
          <w:b w:val="false"/>
          <w:color w:val="000000"/>
          <w:sz w:val="22"/>
          <w:u w:val="single"/>
        </w:rPr>
        <w:t>Schedule 5.10</w:t>
      </w:r>
      <w:r>
        <w:rPr>
          <w:color w:val="000000"/>
        </w:rPr>
        <w:t xml:space="preserve"> </w:t>
      </w:r>
      <w:r>
        <w:rPr>
          <w:rFonts w:ascii="Times New Roman;serif" w:hAnsi="Times New Roman;serif"/>
          <w:b w:val="false"/>
          <w:color w:val="000000"/>
          <w:sz w:val="22"/>
        </w:rPr>
        <w:t>and such insurance coverage complies with the requirements set forth in this Agreement and the other Loan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85445"/>
                <wp:effectExtent l="0" t="0" r="0" b="0"/>
                <wp:wrapNone/>
                <wp:docPr id="132" name="Frame1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97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97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5.11</w:t>
      </w:r>
      <w:r>
        <w:rPr>
          <w:rFonts w:ascii="Times New Roman;serif" w:hAnsi="Times New Roman;serif"/>
          <w:b/>
          <w:color w:val="000000"/>
          <w:sz w:val="22"/>
          <w:u w:val="single"/>
        </w:rPr>
        <w:t>Taxes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Except as could not reasonably be expected to have a Material Adverse Effect, each Loan Party and each of their Subsidiaries have timely filed all federal and state income tax returns, provincial, territorial, foreign and other tax returns required to be filed by it, and have timely paid all federal and state income Taxes, provincial, territorial, foreign and other Taxes (whether or not shown on a tax return), including in its capacity as a withholding agent, levied or imposed upon their or their properties, income or assets otherwise due and payable, except those which are being contested in good faith by appropriate proceedings diligently conducted and for which adequate reserves have been provided in accordance with GAAP. There is no Tax assessment proposed in writing or to the best knowledge of the Loan Parties there is no proposed Tax assessment proposed in writing against any Loan Party or any Subsidiary that would, if made, have a Material Adverse Effect, nor is there any tax sharing agreement applicable to any Borrower or any Subsidiary (other than any such agreement solely among Loan Parties and/or their Subsidiaries). </w:t>
      </w:r>
    </w:p>
    <w:p>
      <w:pPr>
        <w:pStyle w:val="TextBody"/>
        <w:bidi w:val="0"/>
        <w:spacing w:lineRule="auto" w:line="240" w:before="0" w:after="240"/>
        <w:ind w:left="0" w:right="0" w:firstLine="720"/>
        <w:jc w:val="both"/>
        <w:rPr/>
      </w:pPr>
      <w:r>
        <w:rPr>
          <w:rFonts w:ascii="Times New Roman;serif" w:hAnsi="Times New Roman;serif"/>
          <w:b/>
          <w:color w:val="000000"/>
          <w:sz w:val="22"/>
        </w:rPr>
        <w:t>5.12</w:t>
      </w:r>
      <w:r>
        <w:rPr>
          <w:rFonts w:ascii="Times New Roman;serif" w:hAnsi="Times New Roman;serif"/>
          <w:b/>
          <w:color w:val="000000"/>
          <w:sz w:val="22"/>
          <w:u w:val="single"/>
        </w:rPr>
        <w:t>ERISA and Canadian Pension Plan Compliance</w:t>
      </w:r>
      <w:r>
        <w:rPr>
          <w:rFonts w:ascii="Times New Roman;serif" w:hAnsi="Times New Roman;serif"/>
          <w:b/>
          <w:color w:val="000000"/>
          <w:sz w:val="22"/>
        </w:rPr>
        <w:t>.</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(a)Each Plan is in compliance in all material respects with the applicable provisions of ERISA, the Code and other federal, provincial, territorial or state laws. Each Pension Plan that is intended to be a qualified plan under Section 401(a) of the Code has received a favorable determination letter or is subject to a favorable opinion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best knowledge of the Loan Parties, nothing has occurred that would prevent or cause the loss of such tax-qualified status.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(b)There are no pending or, to the best knowledge of the Loan Parties,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(c)(i) No ERISA Event has occurred, and no Loan Party nor any ERISA Affiliate is aware of any fact, event or circumstance that could reasonably be expected to constitute or result in an ERISA Event with respect to any Pension Plan or Multiemployer Plan; (ii) as of the most recent valuation date for any Pension Plan, the funding target attainment percentage (as defined in Section 430(d)(2) of the Code) is 60% or higher and no Loan Party nor any ERISA Affiliate knows of any facts or circumstances that could reasonably be expected to cause the funding target attainment percentage for any such plan to drop below 60% as of the most recent valuation date; (iii) no Loan Party nor any ERISA Affiliate has incurred any liability to the PBGC other than for the payment of premiums, and there are no premium payments which have become due that are unpaid; (iv) neither any Borrower nor any ERISA Affiliate has engaged in a transaction that could be subject to Section 4069 or Section 4212(c) of ERISA; and (v)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(d)Neither any Borrower nor any ERISA Affiliate maintains or contributes to, or has any unsatisfied obligation to contribute to, or liability under, any active or terminated Pension Plan other than (i) on the Closing Date, those listed on </w:t>
      </w:r>
      <w:r>
        <w:rPr>
          <w:rFonts w:ascii="Times New Roman;serif" w:hAnsi="Times New Roman;serif"/>
          <w:b w:val="false"/>
          <w:color w:val="000000"/>
          <w:sz w:val="22"/>
          <w:u w:val="single"/>
        </w:rPr>
        <w:t>Schedule 5.12</w:t>
      </w:r>
      <w:r>
        <w:rPr>
          <w:color w:val="000000"/>
        </w:rPr>
        <w:t xml:space="preserve"> </w:t>
      </w:r>
      <w:r>
        <w:rPr>
          <w:rFonts w:ascii="Times New Roman;serif" w:hAnsi="Times New Roman;serif"/>
          <w:b w:val="false"/>
          <w:color w:val="000000"/>
          <w:sz w:val="22"/>
        </w:rPr>
        <w:t>hereto and (ii) thereafter, Pension Plans not otherwise prohibited by this Agreement.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(e)Each Borrower represents and warrants as of the Closing Date that the Borrowers are not and will not be using “plan assets” (within the meaning of Section 3(42) of ERISA or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85445"/>
                <wp:effectExtent l="0" t="0" r="0" b="0"/>
                <wp:wrapNone/>
                <wp:docPr id="133" name="Frame1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98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98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otherwise) of one or more Benefit Plans with respect to the Borrowers’ entrance into, participation in, administration of and performance of the Loans, the Letters of Credit, the Commitments or this Agreement.</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(f)Each Loan Party and its Subsidiaries is in compliance with all of its obligations under and in respect of each Canadian Pension Plan, Canadian MEPP and each Canadian Benefit Plan, including under any funding agreements, any collective bargaining agreements and Applicable Law (including any fiduciary, funding, investment and administration obligations), except to the extent that any such failure to remit or pay would not reasonbly be expected, individually or in the aggregate, to have a Material Adverse Effect.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(g)All employer and employee payments, contributions and premiums required to be remitted or paid by a Loan Party or any of its Subsidiaries in respect of each Canadian Pension Plan, Canadian MEPP or Canadian Benefit Plan, have been paid or remitted by each such Loan Party or Subsidiary at or before coming due and in accordance with the terms of such Canadian Pension Plan, Canadian MEPP or Canadian Benefit Plan, any funding agreements, any collective bargaining agreements and Applicable Law, except to the extent that any such failure to remit or pay would not reasonbly be expected, individually or in the aggregate, to have a Material Adverse Effect.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(h)No Loan Party nor any of its Subsidiaries maintains or contributes to, or has any liability to, or under, any Canadian Defined Benefit Plan as of the Closing Date. </w:t>
      </w:r>
    </w:p>
    <w:p>
      <w:pPr>
        <w:pStyle w:val="TextBody"/>
        <w:bidi w:val="0"/>
        <w:spacing w:lineRule="auto" w:line="240" w:before="0" w:after="240"/>
        <w:ind w:left="0" w:right="0" w:firstLine="720"/>
        <w:jc w:val="both"/>
        <w:rPr/>
      </w:pPr>
      <w:r>
        <w:rPr>
          <w:rFonts w:ascii="Times New Roman;serif" w:hAnsi="Times New Roman;serif"/>
          <w:b/>
          <w:color w:val="000000"/>
          <w:sz w:val="22"/>
        </w:rPr>
        <w:t>5.13</w:t>
      </w:r>
      <w:r>
        <w:rPr>
          <w:rFonts w:ascii="Times New Roman;serif" w:hAnsi="Times New Roman;serif"/>
          <w:b/>
          <w:color w:val="000000"/>
          <w:sz w:val="22"/>
          <w:u w:val="single"/>
        </w:rPr>
        <w:t>United Kingdom Pensions Act 2004</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(a)No Loan Party or any of its Affiliates is or has at any time been an employer (for the purposes of sections 38 to 51 of the United Kingdom Pensions Act 2004) of an occupational pension scheme which is not a money purchase scheme (both terms as defined in the United Kingdom Pensions Schemes Act 1993);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(b)No Loan Party or any of its Affiliates is or has at any time been "connected" with or an “associate” of (as those terms are used in sections 38 and 43 of the United Kingdom Pensions Act 2004) such an employer.</w:t>
      </w:r>
    </w:p>
    <w:p>
      <w:pPr>
        <w:pStyle w:val="TextBody"/>
        <w:bidi w:val="0"/>
        <w:spacing w:lineRule="auto" w:line="240" w:before="0" w:after="240"/>
        <w:ind w:left="0" w:right="0" w:firstLine="720"/>
        <w:jc w:val="both"/>
        <w:rPr/>
      </w:pPr>
      <w:r>
        <w:rPr>
          <w:rFonts w:ascii="Times New Roman;serif" w:hAnsi="Times New Roman;serif"/>
          <w:b/>
          <w:color w:val="000000"/>
          <w:sz w:val="22"/>
        </w:rPr>
        <w:t>5.14</w:t>
      </w:r>
      <w:r>
        <w:rPr>
          <w:rFonts w:ascii="Times New Roman;serif" w:hAnsi="Times New Roman;serif"/>
          <w:b/>
          <w:color w:val="000000"/>
          <w:sz w:val="22"/>
          <w:u w:val="single"/>
        </w:rPr>
        <w:t>Margin Regulations; Investment Company Act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Margin Regulations</w:t>
      </w:r>
      <w:r>
        <w:rPr>
          <w:rFonts w:ascii="Times New Roman;serif" w:hAnsi="Times New Roman;serif"/>
          <w:b w:val="false"/>
          <w:color w:val="000000"/>
          <w:sz w:val="22"/>
        </w:rPr>
        <w:t xml:space="preserve">. Neither any Loan Party nor any of its Subsidiaries is engaged or will engage, principally or as one of its important activities, in the business of purchasing or carrying margin stock (within the meaning of Regulation U), or extending credit for the purpose of purchasing or carrying margin stock. Following the application of the proceeds of each Borrowing or drawing under each Letter of Credit, not more than twenty-five percent (25%) of the value of the assets (either of the Borrowers only or of the Borrowers and their Subsidiaries on a Consolidated basis) subject to the provisions of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 xml:space="preserve">or subject to any restriction contained in any agreement or instrument between the Borrowers or any of its Subsidiaries and any Lender or any Affiliate of any Lender relating to Indebtedness and within the scope of </w:t>
      </w:r>
      <w:r>
        <w:rPr>
          <w:rFonts w:ascii="Times New Roman;serif" w:hAnsi="Times New Roman;serif"/>
          <w:b w:val="false"/>
          <w:color w:val="000000"/>
          <w:sz w:val="22"/>
          <w:u w:val="single"/>
        </w:rPr>
        <w:t>Section 8.01(e</w:t>
      </w:r>
      <w:r>
        <w:rPr>
          <w:rFonts w:ascii="Times New Roman;serif" w:hAnsi="Times New Roman;serif"/>
          <w:b w:val="false"/>
          <w:color w:val="000000"/>
          <w:sz w:val="22"/>
        </w:rPr>
        <w:t>) will be margin stock.</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Investment Company Act</w:t>
      </w:r>
      <w:r>
        <w:rPr>
          <w:rFonts w:ascii="Times New Roman;serif" w:hAnsi="Times New Roman;serif"/>
          <w:b w:val="false"/>
          <w:color w:val="000000"/>
          <w:sz w:val="22"/>
        </w:rPr>
        <w:t>. None of the Borrowers, any Person Controlling the Borrowers, or any Subsidiary is or is required to be registered as an “investment company” under the Investment Company Act of 1940.</w:t>
      </w:r>
    </w:p>
    <w:p>
      <w:pPr>
        <w:pStyle w:val="TextBody"/>
        <w:bidi w:val="0"/>
        <w:spacing w:lineRule="auto" w:line="240" w:before="0" w:after="240"/>
        <w:ind w:left="0" w:right="0" w:firstLine="720"/>
        <w:jc w:val="both"/>
        <w:rPr/>
      </w:pPr>
      <w:r>
        <w:rPr>
          <w:rFonts w:ascii="Times New Roman;serif" w:hAnsi="Times New Roman;serif"/>
          <w:b/>
          <w:color w:val="000000"/>
          <w:sz w:val="22"/>
        </w:rPr>
        <w:t>5.15</w:t>
      </w:r>
      <w:r>
        <w:rPr>
          <w:rFonts w:ascii="Times New Roman;serif" w:hAnsi="Times New Roman;serif"/>
          <w:b/>
          <w:color w:val="000000"/>
          <w:sz w:val="22"/>
          <w:u w:val="single"/>
        </w:rPr>
        <w:t>Disclosure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 report, financial statement, certificate or other information (other than projections, forecasts and any other forward-looking information and any general industry or economic information) furnished (whether in writing or orally) by or on behalf of any Loan Party to the Administrative Agent or any Lender in connection with the transactions contemplated hereby and the negotiation of this Agreement or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85445"/>
                <wp:effectExtent l="0" t="0" r="0" b="0"/>
                <wp:wrapNone/>
                <wp:docPr id="134" name="Frame1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99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99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delivered hereunder or under any other Loan Document (in each case as modified or supplemented by other information so furnished), when taken as a whole, contains any material misstatement of fact or omits to state any material fact necessary to make the statements therein, in the light of the circumstances under which they were made, not misleading;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with respect to projected financial information prepared by any Loan Party, each Loan Party represents only that such information was prepared in good faith based upon assumptions believed by it to be reasonable at the time (it being understood that forecasts and projections are not statements of fact, actual results may differ, and any such differences may be material).</w:t>
      </w:r>
    </w:p>
    <w:p>
      <w:pPr>
        <w:pStyle w:val="TextBody"/>
        <w:bidi w:val="0"/>
        <w:spacing w:lineRule="auto" w:line="240" w:before="0" w:after="240"/>
        <w:ind w:left="0" w:right="0" w:firstLine="720"/>
        <w:jc w:val="both"/>
        <w:rPr/>
      </w:pPr>
      <w:r>
        <w:rPr>
          <w:rFonts w:ascii="Times New Roman;serif" w:hAnsi="Times New Roman;serif"/>
          <w:b/>
          <w:color w:val="000000"/>
          <w:sz w:val="22"/>
        </w:rPr>
        <w:t>5.16</w:t>
      </w:r>
      <w:r>
        <w:rPr>
          <w:rFonts w:ascii="Times New Roman;serif" w:hAnsi="Times New Roman;serif"/>
          <w:b/>
          <w:color w:val="000000"/>
          <w:sz w:val="22"/>
          <w:u w:val="single"/>
        </w:rPr>
        <w:t>Compliance with Laws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Loan Party and each Subsidiary thereof is in compliance with the requirements of all Applicable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color w:val="000000"/>
          <w:sz w:val="22"/>
        </w:rPr>
        <w:t>5.17</w:t>
      </w:r>
      <w:r>
        <w:rPr>
          <w:rFonts w:ascii="Times New Roman;serif" w:hAnsi="Times New Roman;serif"/>
          <w:b/>
          <w:color w:val="000000"/>
          <w:sz w:val="22"/>
          <w:u w:val="single"/>
        </w:rPr>
        <w:t>Solvency</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individually, is, and the Company and its Subsidiaries, taken together as a group on a Consolidated basis, are Solvent.</w:t>
      </w:r>
    </w:p>
    <w:p>
      <w:pPr>
        <w:pStyle w:val="TextBody"/>
        <w:bidi w:val="0"/>
        <w:spacing w:lineRule="auto" w:line="240" w:before="0" w:after="240"/>
        <w:ind w:left="0" w:right="0" w:firstLine="720"/>
        <w:jc w:val="both"/>
        <w:rPr/>
      </w:pPr>
      <w:r>
        <w:rPr>
          <w:rFonts w:ascii="Times New Roman;serif" w:hAnsi="Times New Roman;serif"/>
          <w:b/>
          <w:color w:val="000000"/>
          <w:sz w:val="22"/>
        </w:rPr>
        <w:t>5.18</w:t>
      </w:r>
      <w:r>
        <w:rPr>
          <w:rFonts w:ascii="Times New Roman;serif" w:hAnsi="Times New Roman;serif"/>
          <w:b/>
          <w:color w:val="000000"/>
          <w:sz w:val="22"/>
          <w:u w:val="single"/>
        </w:rPr>
        <w:t>Casualty, Etc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Neither the businesses nor the properties of any Loan Party or any of its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color w:val="000000"/>
          <w:sz w:val="22"/>
        </w:rPr>
        <w:t>5.19</w:t>
      </w:r>
      <w:r>
        <w:rPr>
          <w:rFonts w:ascii="Times New Roman;serif" w:hAnsi="Times New Roman;serif"/>
          <w:b/>
          <w:color w:val="000000"/>
          <w:sz w:val="22"/>
          <w:u w:val="single"/>
        </w:rPr>
        <w:t>Sanctions Concerns and Anti-Corruption Laws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Sanctions Concerns</w:t>
      </w:r>
      <w:r>
        <w:rPr>
          <w:rFonts w:ascii="Times New Roman;serif" w:hAnsi="Times New Roman;serif"/>
          <w:b w:val="false"/>
          <w:color w:val="000000"/>
          <w:sz w:val="22"/>
        </w:rPr>
        <w:t>. No Loan Party, nor any Subsidiary, nor, to the knowledge of the Loan Parties and their Subsidiaries, any director, officer, employee, agent, affiliate or representative thereof, is an individual or entity that (i) is currently the subject or target of any Sanctions, (ii) is included on OFAC’s List of Specially Designated Nationals or HMT’s Consolidated List of Financial Sanctions Targets, or any similar list enforced by any other relevant sanctions authority, (iii) is located, organized or resident in a Designated Jurisdiction or (iv) is directly or indirectly owned or controlled (as determined pursuant to applicable Sanctions), individually or in the aggregate, by, or is acting on behalf of, one or more individuals or entities described in clauses (i) through (iii) such that the individual or entity is the subject or target of Sanctions under applicable Sanctions. The Borrowers and their respective Subsidiaries have conducted their businesses in compliance with all applicable Sanctions and have instituted and maintained policies and procedures designed to promote and achieve compliance with such Sanctions. Notwithstanding anything in this Agreement, nothing in this Agreement shall require any Loan Party or any Subsidiary of any Loan Party, or any director, officer, employee, agent or Affiliate of any Loan Party that is registered or incorporated under the laws of Canada or of a province or territory thereof to commit an act or omission that contravenes the Foreign Extraterritorial Measures (United States) Order, 1992.</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Anti-Corruption Laws; Anti-Money Laundering Laws</w:t>
      </w:r>
      <w:r>
        <w:rPr>
          <w:rFonts w:ascii="Times New Roman;serif" w:hAnsi="Times New Roman;serif"/>
          <w:b w:val="false"/>
          <w:color w:val="000000"/>
          <w:sz w:val="22"/>
        </w:rPr>
        <w:t xml:space="preserve">. The Loan Parties and their Subsidiaries have conducted their business in compliance in all material respects with the United States Foreign Corrupt Practices Act of 1977, the UK Bribery Act 2010, the Corruption of Foreign Public Officials Act (Canada), the Criminal Code (Canada), and, to the extent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85445"/>
                <wp:effectExtent l="0" t="0" r="0" b="0"/>
                <wp:wrapNone/>
                <wp:docPr id="135" name="Frame1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100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100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Proceeds of Crime (Money Laundering) and Terrorist Financing Act (Canada) other applicable anti-corruption legislation or anti-money laundering legislation in other jurisdictions, and have instituted and maintained policies and procedures designed to promote and achieve compliance with such laws. No part of the proceeds of the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Kingdom Bribery Act 2010.</w:t>
      </w:r>
    </w:p>
    <w:p>
      <w:pPr>
        <w:pStyle w:val="TextBody"/>
        <w:bidi w:val="0"/>
        <w:spacing w:lineRule="auto" w:line="240" w:before="0" w:after="240"/>
        <w:ind w:left="0" w:right="0" w:firstLine="720"/>
        <w:jc w:val="both"/>
        <w:rPr/>
      </w:pPr>
      <w:r>
        <w:rPr>
          <w:rFonts w:ascii="Times New Roman;serif" w:hAnsi="Times New Roman;serif"/>
          <w:b/>
          <w:color w:val="000000"/>
          <w:sz w:val="22"/>
        </w:rPr>
        <w:t>5.20</w:t>
      </w:r>
      <w:r>
        <w:rPr>
          <w:rFonts w:ascii="Times New Roman;serif" w:hAnsi="Times New Roman;serif"/>
          <w:b/>
          <w:color w:val="000000"/>
          <w:sz w:val="22"/>
          <w:u w:val="single"/>
        </w:rPr>
        <w:t>Responsible Officers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Set forth on </w:t>
      </w:r>
      <w:r>
        <w:rPr>
          <w:rFonts w:ascii="Times New Roman;serif" w:hAnsi="Times New Roman;serif"/>
          <w:b w:val="false"/>
          <w:color w:val="000000"/>
          <w:sz w:val="22"/>
          <w:u w:val="single"/>
        </w:rPr>
        <w:t>Schedule 1.01(c</w:t>
      </w:r>
      <w:r>
        <w:rPr>
          <w:rFonts w:ascii="Times New Roman;serif" w:hAnsi="Times New Roman;serif"/>
          <w:b w:val="false"/>
          <w:color w:val="000000"/>
          <w:sz w:val="22"/>
        </w:rPr>
        <w:t xml:space="preserve">) are Responsible Officers, holding the offices indicated next to their respective names, as of the Closing Date and as of the last date such </w:t>
      </w:r>
      <w:r>
        <w:rPr>
          <w:rFonts w:ascii="Times New Roman;serif" w:hAnsi="Times New Roman;serif"/>
          <w:b w:val="false"/>
          <w:color w:val="000000"/>
          <w:sz w:val="22"/>
          <w:u w:val="single"/>
        </w:rPr>
        <w:t>Schedule 1.01(c</w:t>
      </w:r>
      <w:r>
        <w:rPr>
          <w:rFonts w:ascii="Times New Roman;serif" w:hAnsi="Times New Roman;serif"/>
          <w:b w:val="false"/>
          <w:color w:val="000000"/>
          <w:sz w:val="22"/>
        </w:rPr>
        <w:t xml:space="preserve">) was required to be updated in accordance with </w:t>
      </w:r>
      <w:r>
        <w:rPr>
          <w:rFonts w:ascii="Times New Roman;serif" w:hAnsi="Times New Roman;serif"/>
          <w:b w:val="false"/>
          <w:color w:val="000000"/>
          <w:sz w:val="22"/>
          <w:u w:val="single"/>
        </w:rPr>
        <w:t>Section 6.02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w:t>
      </w:r>
      <w:r>
        <w:rPr>
          <w:color w:val="000000"/>
        </w:rPr>
        <w:t xml:space="preserve"> </w:t>
      </w:r>
      <w:r>
        <w:rPr>
          <w:rFonts w:ascii="Times New Roman;serif" w:hAnsi="Times New Roman;serif"/>
          <w:b w:val="false"/>
          <w:color w:val="000000"/>
          <w:sz w:val="22"/>
          <w:u w:val="single"/>
        </w:rPr>
        <w:t>6.13</w:t>
      </w:r>
      <w:r>
        <w:rPr>
          <w:rFonts w:ascii="Times New Roman;serif" w:hAnsi="Times New Roman;serif"/>
          <w:b w:val="false"/>
          <w:color w:val="000000"/>
          <w:sz w:val="22"/>
        </w:rPr>
        <w:t>, and such Responsible Officers are the duly elected and qualified officers of such Loan Party and are duly authorized to execute and deliver, on behalf of the respective Loan Party, this Agreement, the Notes and the other Loan Documents.</w:t>
      </w:r>
    </w:p>
    <w:p>
      <w:pPr>
        <w:pStyle w:val="TextBody"/>
        <w:bidi w:val="0"/>
        <w:spacing w:lineRule="auto" w:line="240" w:before="0" w:after="240"/>
        <w:ind w:left="0" w:right="0" w:firstLine="720"/>
        <w:jc w:val="both"/>
        <w:rPr/>
      </w:pPr>
      <w:r>
        <w:rPr>
          <w:rFonts w:ascii="Times New Roman;serif" w:hAnsi="Times New Roman;serif"/>
          <w:b/>
          <w:color w:val="000000"/>
          <w:sz w:val="22"/>
        </w:rPr>
        <w:t>5.21</w:t>
      </w:r>
      <w:r>
        <w:rPr>
          <w:rFonts w:ascii="Times New Roman;serif" w:hAnsi="Times New Roman;serif"/>
          <w:b/>
          <w:color w:val="000000"/>
          <w:sz w:val="22"/>
          <w:u w:val="single"/>
        </w:rPr>
        <w:t>Subsidiaries; Equity Interests; Loan Parties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Subsidiaries, Joint Ventures, Partnerships and Equity Investments</w:t>
      </w:r>
      <w:r>
        <w:rPr>
          <w:rFonts w:ascii="Times New Roman;serif" w:hAnsi="Times New Roman;serif"/>
          <w:b w:val="false"/>
          <w:color w:val="000000"/>
          <w:sz w:val="22"/>
        </w:rPr>
        <w:t xml:space="preserve">. Set forth on </w:t>
      </w:r>
      <w:r>
        <w:rPr>
          <w:rFonts w:ascii="Times New Roman;serif" w:hAnsi="Times New Roman;serif"/>
          <w:b w:val="false"/>
          <w:color w:val="000000"/>
          <w:sz w:val="22"/>
          <w:u w:val="single"/>
        </w:rPr>
        <w:t>Schedule 5.21(a</w:t>
      </w:r>
      <w:r>
        <w:rPr>
          <w:rFonts w:ascii="Times New Roman;serif" w:hAnsi="Times New Roman;serif"/>
          <w:b w:val="false"/>
          <w:color w:val="000000"/>
          <w:sz w:val="22"/>
        </w:rPr>
        <w:t xml:space="preserve">), is the following information which is true and complete in all respects as of the Closing Date and as of the last date such Schedule was required to be updated in accordance with </w:t>
      </w:r>
      <w:r>
        <w:rPr>
          <w:rFonts w:ascii="Times New Roman;serif" w:hAnsi="Times New Roman;serif"/>
          <w:b w:val="false"/>
          <w:color w:val="000000"/>
          <w:sz w:val="22"/>
          <w:u w:val="single"/>
        </w:rPr>
        <w:t>Section 6.02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6.13</w:t>
      </w:r>
      <w:r>
        <w:rPr>
          <w:rFonts w:ascii="Times New Roman;serif" w:hAnsi="Times New Roman;serif"/>
          <w:b w:val="false"/>
          <w:color w:val="000000"/>
          <w:sz w:val="22"/>
        </w:rPr>
        <w:t xml:space="preserve">:  a complete and accurate list of all Subsidiaries, their jurisdiction of organization, the ownership of the outstanding Equity Interests thereof, in each case as of the Closing Date and as of the last date such Schedule was required to be updated in accordance with </w:t>
      </w:r>
      <w:r>
        <w:rPr>
          <w:rFonts w:ascii="Times New Roman;serif" w:hAnsi="Times New Roman;serif"/>
          <w:b w:val="false"/>
          <w:color w:val="000000"/>
          <w:sz w:val="22"/>
          <w:u w:val="single"/>
        </w:rPr>
        <w:t>Section 6.02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6.13</w:t>
      </w:r>
      <w:r>
        <w:rPr>
          <w:rFonts w:ascii="Times New Roman;serif" w:hAnsi="Times New Roman;serif"/>
          <w:b w:val="false"/>
          <w:color w:val="000000"/>
          <w:sz w:val="22"/>
        </w:rPr>
        <w:t>. The outstanding Equity Interests in all Subsidiaries are validly issued, fully paid and non-assessable and are owned free and clear of all Liens. There are no outstanding subscriptions, options, warrants, calls, rights or other agreements or commitments (other than stock options granted to employees or directors and directors’ qualifying shares) of any nature relating to the Equity Interests of any Loan Party or any Subsidiary thereof, except as contemplated in connection with or permitted under the Loan Documents.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Loan Parties</w:t>
      </w:r>
      <w:r>
        <w:rPr>
          <w:rFonts w:ascii="Times New Roman;serif" w:hAnsi="Times New Roman;serif"/>
          <w:b w:val="false"/>
          <w:color w:val="000000"/>
          <w:sz w:val="22"/>
        </w:rPr>
        <w:t xml:space="preserve">. Set forth on </w:t>
      </w:r>
      <w:r>
        <w:rPr>
          <w:rFonts w:ascii="Times New Roman;serif" w:hAnsi="Times New Roman;serif"/>
          <w:b w:val="false"/>
          <w:color w:val="000000"/>
          <w:sz w:val="22"/>
          <w:u w:val="single"/>
        </w:rPr>
        <w:t>Schedule 5.21(b</w:t>
      </w:r>
      <w:r>
        <w:rPr>
          <w:rFonts w:ascii="Times New Roman;serif" w:hAnsi="Times New Roman;serif"/>
          <w:b w:val="false"/>
          <w:color w:val="000000"/>
          <w:sz w:val="22"/>
        </w:rPr>
        <w:t xml:space="preserve">) is a complete and accurate list of all Loan Parties, showing as of the Closing Date, or as of the last date such Schedule was required to be updated in accordance with </w:t>
      </w:r>
      <w:r>
        <w:rPr>
          <w:rFonts w:ascii="Times New Roman;serif" w:hAnsi="Times New Roman;serif"/>
          <w:b w:val="false"/>
          <w:color w:val="000000"/>
          <w:sz w:val="22"/>
          <w:u w:val="single"/>
        </w:rPr>
        <w:t>Sections 6.02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6.13</w:t>
      </w:r>
      <w:r>
        <w:rPr>
          <w:rFonts w:ascii="Times New Roman;serif" w:hAnsi="Times New Roman;serif"/>
          <w:b w:val="false"/>
          <w:color w:val="000000"/>
          <w:sz w:val="22"/>
        </w:rPr>
        <w:t>, (as to each Loan Party) (i) the exact legal name, (ii) any former legal names of such Loan Party in the four (4) months prior to the Closing Date, (iii) the jurisdiction of its incorporation or organization, as applicable, (iv) the type of organization, (v) the jurisdictions in which such Loan Party is qualified to do business, except for any jurisdiction(s) in which the failure to so qualify would not have a Material Adverse Effect, (vi) the address of its chief executive office, (vii) the address of its principal place of business, (viii) its U.S. federal taxpayer identification number or, in the case of any non-U.S. Loan Party that does not have a U.S. taxpayer identification number, its unique identification number (if any) issued to it by the jurisdiction of its incorporation or organization, and (ix) in the case of the Company and any other Loan Party that is a Domestic Subsidiary, its organization identification number, if any, assigned by its state of organization.</w:t>
      </w:r>
    </w:p>
    <w:p>
      <w:pPr>
        <w:pStyle w:val="TextBody"/>
        <w:bidi w:val="0"/>
        <w:spacing w:lineRule="auto" w:line="240" w:before="0" w:after="240"/>
        <w:ind w:left="0" w:right="0" w:firstLine="720"/>
        <w:jc w:val="both"/>
        <w:rPr/>
      </w:pPr>
      <w:r>
        <w:rPr>
          <w:rFonts w:ascii="Times New Roman;serif" w:hAnsi="Times New Roman;serif"/>
          <w:b/>
          <w:color w:val="000000"/>
          <w:sz w:val="22"/>
        </w:rPr>
        <w:t>5.22</w:t>
      </w:r>
      <w:r>
        <w:rPr>
          <w:rFonts w:ascii="Times New Roman;serif" w:hAnsi="Times New Roman;serif"/>
          <w:b/>
          <w:color w:val="000000"/>
          <w:sz w:val="22"/>
          <w:u w:val="single"/>
        </w:rPr>
        <w:t>Affected Financial Institutions</w:t>
      </w:r>
      <w:r>
        <w:rPr>
          <w:rFonts w:ascii="Times New Roman;serif" w:hAnsi="Times New Roman;serif"/>
          <w:b w:val="false"/>
          <w:color w:val="000000"/>
          <w:sz w:val="22"/>
        </w:rPr>
        <w:t>.</w:t>
      </w:r>
      <w:r>
        <w:rPr>
          <w:color w:val="00000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Loan Party is an Affected Financial Institution.</w:t>
      </w:r>
    </w:p>
    <w:p>
      <w:pPr>
        <w:pStyle w:val="TextBody"/>
        <w:bidi w:val="0"/>
        <w:spacing w:lineRule="auto" w:line="240" w:before="0" w:after="240"/>
        <w:ind w:left="0" w:right="0" w:firstLine="720"/>
        <w:jc w:val="both"/>
        <w:rPr/>
      </w:pPr>
      <w:r>
        <w:rPr>
          <w:rFonts w:ascii="Times New Roman;serif" w:hAnsi="Times New Roman;serif"/>
          <w:b/>
          <w:color w:val="000000"/>
          <w:sz w:val="22"/>
        </w:rPr>
        <w:t>5.23</w:t>
      </w:r>
      <w:r>
        <w:rPr>
          <w:rFonts w:ascii="Times New Roman;serif" w:hAnsi="Times New Roman;serif"/>
          <w:b/>
          <w:color w:val="000000"/>
          <w:sz w:val="22"/>
          <w:u w:val="single"/>
        </w:rPr>
        <w:t>Covered Entities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Loan Party is a Covered Entity.</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85445"/>
                <wp:effectExtent l="0" t="0" r="0" b="0"/>
                <wp:wrapNone/>
                <wp:docPr id="136" name="Frame1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101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101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5.24</w:t>
      </w:r>
      <w:r>
        <w:rPr>
          <w:rFonts w:ascii="Times New Roman;serif" w:hAnsi="Times New Roman;serif"/>
          <w:b/>
          <w:color w:val="000000"/>
          <w:sz w:val="22"/>
          <w:u w:val="single"/>
        </w:rPr>
        <w:t>Beneficial Ownership Certification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information included in the Beneficial Ownership Certification, if applicable, is true and correct in all respects.</w:t>
      </w:r>
    </w:p>
    <w:p>
      <w:pPr>
        <w:pStyle w:val="TextBody"/>
        <w:bidi w:val="0"/>
        <w:spacing w:lineRule="auto" w:line="240" w:before="0" w:after="240"/>
        <w:ind w:left="0" w:right="0" w:firstLine="720"/>
        <w:jc w:val="both"/>
        <w:rPr/>
      </w:pPr>
      <w:r>
        <w:rPr>
          <w:rFonts w:ascii="Times New Roman;serif" w:hAnsi="Times New Roman;serif"/>
          <w:b/>
          <w:color w:val="000000"/>
          <w:sz w:val="22"/>
        </w:rPr>
        <w:t>5.25</w:t>
      </w:r>
      <w:r>
        <w:rPr>
          <w:rFonts w:ascii="Times New Roman;serif" w:hAnsi="Times New Roman;serif"/>
          <w:b/>
          <w:color w:val="000000"/>
          <w:sz w:val="22"/>
          <w:u w:val="single"/>
        </w:rPr>
        <w:t>Intellectual Property; Licenses, Etc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could not reasonably be expected to have a Material Adverse Effect, each Loan Party and each of its Subsidiaries own, or possess the right to use, all of the trademarks, service marks, trade names, copyrights, patents, patent rights, trade secrets, know-how, franchises, licenses, designs and other intellectual property rights that are used in the operation of their respective businesses, without conflict with the rights of any other Person. To the knowledge of any Loan Party, neither the operation of the business, nor any product, service, process, method, substance, part or other material now used, or now contemplated to be used, by any Loan Party or any of its Subsidiaries infringes, misappropriates or otherwise violates upon any rights held by any other Person, except as could not, individually or in the aggregate, reasonably be expected to have a Material Adverse Effect. No claim or litigation regarding any of the foregoing is pending or, to the best knowledge of any Loan Party, threatened, which, either individually or in the aggregate, could reasonably be expected to have a Material Adverse Effect. To the knowledge of any Loan Party, there has been no unauthorized use, access, interruption, modification, corruption or malfunction of any information technology assets or systems (or any information or transactions stored or contained therein or transmitted thereby) owned or used by the any Loan Party or any of its Subsidiaries, which, either individually or in the aggregate, would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color w:val="000000"/>
          <w:sz w:val="22"/>
        </w:rPr>
        <w:t>5.26</w:t>
      </w:r>
      <w:r>
        <w:rPr>
          <w:rFonts w:ascii="Times New Roman;serif" w:hAnsi="Times New Roman;serif"/>
          <w:b/>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5.27</w:t>
      </w:r>
      <w:r>
        <w:rPr>
          <w:rFonts w:ascii="Times New Roman;serif" w:hAnsi="Times New Roman;serif"/>
          <w:b/>
          <w:color w:val="000000"/>
          <w:sz w:val="22"/>
          <w:u w:val="single"/>
        </w:rPr>
        <w:t>Representations as to Foreign Obligors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of the Company and each Foreign Obligor represents and warrants to the Administrative Agent and the Lenders that:</w:t>
      </w:r>
    </w:p>
    <w:p>
      <w:pPr>
        <w:pStyle w:val="TextBody"/>
        <w:bidi w:val="0"/>
        <w:spacing w:lineRule="auto" w:line="240" w:before="0" w:after="240"/>
        <w:ind w:left="0" w:right="0" w:firstLine="720"/>
        <w:jc w:val="both"/>
        <w:rPr/>
      </w:pPr>
      <w:r>
        <w:rPr>
          <w:rFonts w:ascii="Times New Roman;serif" w:hAnsi="Times New Roman;serif"/>
          <w:b w:val="false"/>
          <w:color w:val="000000"/>
          <w:sz w:val="22"/>
        </w:rPr>
        <w:t>(a)Such Foreign Obligor is subject to civil and commercial Laws with respect to its obligations under this Agreement and the other Loan Documents to which it is a party (collectively as to such Foreign Obligor, the “</w:t>
      </w:r>
      <w:r>
        <w:rPr>
          <w:rFonts w:ascii="Times New Roman;serif" w:hAnsi="Times New Roman;serif"/>
          <w:b w:val="false"/>
          <w:i/>
          <w:color w:val="000000"/>
          <w:sz w:val="22"/>
          <w:u w:val="single"/>
        </w:rPr>
        <w:t>Applicable Foreign Obligor Documents</w:t>
      </w:r>
      <w:r>
        <w:rPr>
          <w:color w:val="000000"/>
        </w:rPr>
        <w:t>”</w:t>
      </w:r>
      <w:r>
        <w:rPr>
          <w:rFonts w:ascii="Times New Roman;serif" w:hAnsi="Times New Roman;serif"/>
          <w:b w:val="false"/>
          <w:color w:val="000000"/>
          <w:sz w:val="22"/>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(b)Subject to any qualifications to this representation referred to in any legal opinions provided for the benefit of the Lenders in connection with this Agreement, 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85445"/>
                <wp:effectExtent l="0" t="0" r="0" b="0"/>
                <wp:wrapNone/>
                <wp:docPr id="137" name="Frame1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102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102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registration, recording, execution or notarization as has been made or is not required to be made until the Applicable Foreign Obligor Document or any other document is sought to be enforced and (ii) any charge or tax as has been timely paid.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(c)There is no Tax, levy, impost, duty, fee, assessment or other governmental charge, or any deduction or withholding, imposed by any Governmental Authority in or of the jurisdiction in which such Foreign Obligor is organized and existing either (i) on or by virtue of the execution or delivery of the Applicable Foreign Obligor Documents or (ii) on any payment to be made by such Foreign Obligor pursuant to the Applicable Foreign Obligor Documents, except as has been disclosed to the Administrative Agent. It is not required under the Laws of the jurisdiction in which such Borrower is incorporated or resident or at the address specified for such Borrower on </w:t>
      </w:r>
      <w:r>
        <w:rPr>
          <w:rFonts w:ascii="Times New Roman;serif" w:hAnsi="Times New Roman;serif"/>
          <w:b w:val="false"/>
          <w:color w:val="000000"/>
          <w:sz w:val="22"/>
          <w:u w:val="single"/>
        </w:rPr>
        <w:t>Schedule 1.01(a</w:t>
      </w:r>
      <w:r>
        <w:rPr>
          <w:rFonts w:ascii="Times New Roman;serif" w:hAnsi="Times New Roman;serif"/>
          <w:b w:val="false"/>
          <w:color w:val="000000"/>
          <w:sz w:val="22"/>
        </w:rPr>
        <w:t>) to make any deduction for or on account of Tax from any payment it may make under any Loan Documents except, in the case of a deduction for or on account of United Kingdom Taxes, in respect of a payment made to a Lender that is not a Qualifying Lender or (where such Lender is a Treaty Lender) where the payment is not one specified in a direction given by the United Kingdom Commissioners of Revenue &amp; Customs under Regulation 2 of the Double Taxation Relief (Taxes on Income) (General) Regulations 1970 (SI 1970/488).</w:t>
      </w:r>
    </w:p>
    <w:p>
      <w:pPr>
        <w:pStyle w:val="TextBody"/>
        <w:bidi w:val="0"/>
        <w:spacing w:lineRule="auto" w:line="240" w:before="0" w:after="240"/>
        <w:ind w:left="0" w:right="0" w:firstLine="720"/>
        <w:jc w:val="both"/>
        <w:rPr/>
      </w:pPr>
      <w:r>
        <w:rPr>
          <w:rFonts w:ascii="Times New Roman;serif" w:hAnsi="Times New Roman;serif"/>
          <w:b w:val="false"/>
          <w:color w:val="000000"/>
          <w:sz w:val="22"/>
        </w:rPr>
        <w:t>(d)The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any notification or authorization described in </w:t>
      </w:r>
      <w:r>
        <w:rPr>
          <w:rFonts w:ascii="Times New Roman;serif" w:hAnsi="Times New Roman;serif"/>
          <w:b w:val="false"/>
          <w:color w:val="000000"/>
          <w:sz w:val="22"/>
          <w:u w:val="single"/>
        </w:rPr>
        <w:t>clause (ii</w:t>
      </w:r>
      <w:r>
        <w:rPr>
          <w:rFonts w:ascii="Times New Roman;serif" w:hAnsi="Times New Roman;serif"/>
          <w:b w:val="false"/>
          <w:color w:val="000000"/>
          <w:sz w:val="22"/>
        </w:rPr>
        <w:t>) shall be made or obtained as soon as is reasonably practicable).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(e)The choice of the law of the State of New York as the governing law of the Loan Documents will be recognized and enforced in each Borrower’s jurisdiction of incorporation and any judgment obtained in New York in relation to a Loan Document will be recognized and enforced in each Borrower’s jurisdiction of incorporation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(f)Under the Laws of the jurisdiction in which each Borrower is incorporated it is not necessary that the Loan Documents be filed, recorded or enrolled with any court or other authority in that jurisdiction or that any stamp, registration or similar tax be paid on or in relation to the Loan Documents or the transactions contemplated by the Loan Documents.</w:t>
      </w:r>
    </w:p>
    <w:p>
      <w:pPr>
        <w:pStyle w:val="TextBody"/>
        <w:bidi w:val="0"/>
        <w:spacing w:lineRule="auto" w:line="240" w:before="0" w:after="240"/>
        <w:ind w:left="0" w:right="0" w:firstLine="720"/>
        <w:jc w:val="both"/>
        <w:rPr/>
      </w:pPr>
      <w:r>
        <w:rPr>
          <w:rFonts w:ascii="Times New Roman;serif" w:hAnsi="Times New Roman;serif"/>
          <w:b/>
          <w:color w:val="000000"/>
          <w:sz w:val="22"/>
        </w:rPr>
        <w:t>5.28</w:t>
      </w:r>
      <w:r>
        <w:rPr>
          <w:rFonts w:ascii="Times New Roman;serif" w:hAnsi="Times New Roman;serif"/>
          <w:b/>
          <w:color w:val="000000"/>
          <w:sz w:val="22"/>
          <w:u w:val="single"/>
        </w:rPr>
        <w:t>Outbound Investment Rules</w:t>
      </w:r>
      <w:r>
        <w:rPr>
          <w:rFonts w:ascii="Times New Roman;serif" w:hAnsi="Times New Roman;serif"/>
          <w:b/>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Borrower nor any Subsidiary of any Borrower is a “covered foreign person” as that term is used in the Outbound Investment Rules. No Borrower nor any Subsidiary of any Borrower currently engages, or has any present intention to engage in the future, directly or indirectly, in (i) a “covered transaction”, as such term is defined in the Outbound Investment Rules, (ii) any activity or transaction that would constitute a “covered transaction”, as such term is defined in the Outbound Investment Rules, if such Borrower were a “U.S. Person” (as defined in 31 CFR § 850.229)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85445"/>
                <wp:effectExtent l="0" t="0" r="0" b="0"/>
                <wp:wrapNone/>
                <wp:docPr id="138" name="Frame1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103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103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2"/>
        </w:rPr>
        <w:t>Article VI</w:t>
      </w:r>
      <w:r>
        <w:rPr>
          <w:rFonts w:ascii="Times New Roman;serif" w:hAnsi="Times New Roman;serif"/>
          <w:b/>
          <w:color w:val="000000"/>
          <w:sz w:val="22"/>
        </w:rPr>
        <w:br/>
        <w:br/>
        <w:t>AFFIRMATIVE COVENANTS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of the Loan Parties hereby covenants and agrees that on the Closing Date and thereafter until the Facility Termination Date, such Loan Party shall, and shall cause each of its Subsidiaries to:</w:t>
      </w:r>
    </w:p>
    <w:p>
      <w:pPr>
        <w:pStyle w:val="TextBody"/>
        <w:bidi w:val="0"/>
        <w:spacing w:lineRule="auto" w:line="240" w:before="0" w:after="240"/>
        <w:ind w:left="0" w:right="0" w:firstLine="720"/>
        <w:jc w:val="both"/>
        <w:rPr/>
      </w:pPr>
      <w:r>
        <w:rPr>
          <w:rFonts w:ascii="Times New Roman;serif" w:hAnsi="Times New Roman;serif"/>
          <w:b/>
          <w:color w:val="000000"/>
          <w:sz w:val="22"/>
        </w:rPr>
        <w:t>6.01</w:t>
      </w:r>
      <w:r>
        <w:rPr>
          <w:rFonts w:ascii="Times New Roman;serif" w:hAnsi="Times New Roman;serif"/>
          <w:b/>
          <w:color w:val="000000"/>
          <w:sz w:val="22"/>
          <w:u w:val="single"/>
        </w:rPr>
        <w:t>Financial Statements</w:t>
      </w:r>
      <w:r>
        <w:rPr>
          <w:rFonts w:ascii="Times New Roman;serif" w:hAnsi="Times New Roman;serif"/>
          <w:b w:val="false"/>
          <w:color w:val="000000"/>
          <w:sz w:val="22"/>
        </w:rPr>
        <w:t>.</w:t>
      </w:r>
      <w:r>
        <w:rPr>
          <w:color w:val="00000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Deliver to the Administrative Agent for prompt distribution by the Administrative Agent to each Lender, in form and detail satisfactory to the Administrative Agent and the Required Lenders: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Audited Financial Statements</w:t>
      </w:r>
      <w:r>
        <w:rPr>
          <w:rFonts w:ascii="Times New Roman;serif" w:hAnsi="Times New Roman;serif"/>
          <w:b w:val="false"/>
          <w:color w:val="000000"/>
          <w:sz w:val="22"/>
        </w:rPr>
        <w:t>. As soon as available, but in any event within ninety (90) days after the end of each fiscal year of the Company (or, if earlier, fifteen (15) days after the date required to be filed with the SEC (without giving effect to any extension permitted by the SEC)), a Consolidated balance sheet of the Company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Administrative Agent, which report and opinion shall be prepared in accordance with generally accepted auditing standards and shall not be subject to any “going concern” or like qualification or exception (except for such a qualification or exception arising solely from the current scheduled maturity of the Loans) or any qualification or exception as to the scope of such audit.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Quarterly Financial Statements</w:t>
      </w:r>
      <w:r>
        <w:rPr>
          <w:rFonts w:ascii="Times New Roman;serif" w:hAnsi="Times New Roman;serif"/>
          <w:b w:val="false"/>
          <w:color w:val="000000"/>
          <w:sz w:val="22"/>
        </w:rPr>
        <w:t>. As soon as available, but in any event within forty-five (45) days after the end of each of the first three (3) fiscal quarters of each fiscal year of the Company (or, if earlier, five (5) days after the date required to be filed with the SEC (without giving effect to any extension permitted by the SEC)), a Consolidated balance sheet of the Company and its Subsidiaries as at the end of such fiscal quarter, and the related Consolidated statements of income or operations, changes in Shareholders’ Equity and cash flows for such fiscal quarter and for the portion of the Company’s fiscal year then ended, setting forth in each case in comparative form the figures for the corresponding fiscal quarter of the previous fiscal year and the corresponding portion of the previous fiscal year, all in reasonable detail and prepared in accordance with GAAP, certified by the chief executive officer, chief financial officer, treasurer or controller who is a Responsible Officer of the Company as fairly presenting in all material respects the financial condition, results of operations, Shareholders’ Equity and cash flows of the Company and its Subsidiaries, subject only to normal year-end audit adjustments and the absence of footnotes.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Business Plan and Budget</w:t>
      </w:r>
      <w:r>
        <w:rPr>
          <w:rFonts w:ascii="Times New Roman;serif" w:hAnsi="Times New Roman;serif"/>
          <w:b w:val="false"/>
          <w:color w:val="000000"/>
          <w:sz w:val="22"/>
        </w:rPr>
        <w:t>. As soon as available, but in any event within sixty (60) days after the end of each fiscal year of the Company, a reasonably detailed annual business plan and budget of the Company and its Subsidiaries on a Consolidated basis, including forecasts prepared by management of the Company, prepared in a manner consistent with past practices of the Company, which shall include Consolidated balance sheets and statements of income or operations and cash flows of the Company and its Subsidiaries on a quarterly basis for the immediately following fiscal year.</w:t>
      </w:r>
    </w:p>
    <w:p>
      <w:pPr>
        <w:pStyle w:val="TextBody"/>
        <w:bidi w:val="0"/>
        <w:spacing w:lineRule="auto" w:line="288" w:before="0" w:after="240"/>
        <w:jc w:val="both"/>
        <w:rPr/>
      </w:pPr>
      <w:r>
        <w:rPr>
          <w:rFonts w:ascii="Times New Roman;serif" w:hAnsi="Times New Roman;serif"/>
          <w:b w:val="false"/>
          <w:color w:val="000000"/>
          <w:sz w:val="22"/>
        </w:rPr>
        <w:t xml:space="preserve">As to any information contained in materials furnished pursuant to </w:t>
      </w:r>
      <w:r>
        <w:rPr>
          <w:rFonts w:ascii="Times New Roman;serif" w:hAnsi="Times New Roman;serif"/>
          <w:b w:val="false"/>
          <w:color w:val="000000"/>
          <w:sz w:val="22"/>
          <w:u w:val="single"/>
        </w:rPr>
        <w:t>Section 6.02(e)</w:t>
      </w:r>
      <w:r>
        <w:rPr>
          <w:rFonts w:ascii="Times New Roman;serif" w:hAnsi="Times New Roman;serif"/>
          <w:b w:val="false"/>
          <w:color w:val="000000"/>
          <w:sz w:val="22"/>
        </w:rPr>
        <w:t xml:space="preserve">, the Company shall not be separately required to furnish such information under </w:t>
      </w:r>
      <w:r>
        <w:rPr>
          <w:rFonts w:ascii="Times New Roman;serif" w:hAnsi="Times New Roman;serif"/>
          <w:b w:val="false"/>
          <w:color w:val="000000"/>
          <w:sz w:val="22"/>
          <w:u w:val="single"/>
        </w:rPr>
        <w:t>Section 6.01(a</w:t>
      </w:r>
      <w:r>
        <w:rPr>
          <w:rFonts w:ascii="Times New Roman;serif" w:hAnsi="Times New Roman;serif"/>
          <w:b w:val="false"/>
          <w:color w:val="000000"/>
          <w:sz w:val="22"/>
        </w:rPr>
        <w:t>) or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above, but the foregoing shall not be in derogation of the obligation of the Company to furnish the information and materials described in </w:t>
      </w:r>
      <w:r>
        <w:rPr>
          <w:rFonts w:ascii="Times New Roman;serif" w:hAnsi="Times New Roman;serif"/>
          <w:b w:val="false"/>
          <w:color w:val="000000"/>
          <w:sz w:val="22"/>
          <w:u w:val="single"/>
        </w:rPr>
        <w:t>Sections 6.01(a</w:t>
      </w:r>
      <w:r>
        <w:rPr>
          <w:rFonts w:ascii="Times New Roman;serif" w:hAnsi="Times New Roman;serif"/>
          <w:b w:val="false"/>
          <w:color w:val="000000"/>
          <w:sz w:val="22"/>
        </w:rPr>
        <w:t>) and (</w:t>
      </w:r>
      <w:r>
        <w:rPr>
          <w:rFonts w:ascii="Times New Roman;serif" w:hAnsi="Times New Roman;serif"/>
          <w:b w:val="false"/>
          <w:color w:val="000000"/>
          <w:sz w:val="22"/>
          <w:u w:val="single"/>
        </w:rPr>
        <w:t>b</w:t>
      </w:r>
      <w:r>
        <w:rPr>
          <w:rFonts w:ascii="Times New Roman;serif" w:hAnsi="Times New Roman;serif"/>
          <w:b w:val="false"/>
          <w:color w:val="000000"/>
          <w:sz w:val="22"/>
        </w:rPr>
        <w:t>) above at the times specified therein.</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85445"/>
                <wp:effectExtent l="0" t="0" r="0" b="0"/>
                <wp:wrapNone/>
                <wp:docPr id="139" name="Frame1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104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104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6.02</w:t>
      </w:r>
      <w:r>
        <w:rPr>
          <w:rFonts w:ascii="Times New Roman;serif" w:hAnsi="Times New Roman;serif"/>
          <w:b/>
          <w:color w:val="000000"/>
          <w:sz w:val="22"/>
          <w:u w:val="single"/>
        </w:rPr>
        <w:t>Certificates; Other Information</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Deliver to the Administrative Agent for prompt distribution to each Lender, in form and detail satisfactory to the Administrative Agent and the Required Lenders: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Compliance Certificate</w:t>
      </w:r>
      <w:r>
        <w:rPr>
          <w:rFonts w:ascii="Times New Roman;serif" w:hAnsi="Times New Roman;serif"/>
          <w:b w:val="false"/>
          <w:color w:val="000000"/>
          <w:sz w:val="22"/>
        </w:rPr>
        <w:t xml:space="preserve">. Concurrently with the delivery of the financial statements referred to in </w:t>
      </w:r>
      <w:r>
        <w:rPr>
          <w:rFonts w:ascii="Times New Roman;serif" w:hAnsi="Times New Roman;serif"/>
          <w:b w:val="false"/>
          <w:color w:val="000000"/>
          <w:sz w:val="22"/>
          <w:u w:val="single"/>
        </w:rPr>
        <w:t>Sections 6.01(a</w:t>
      </w:r>
      <w:r>
        <w:rPr>
          <w:rFonts w:ascii="Times New Roman;serif" w:hAnsi="Times New Roman;serif"/>
          <w:b w:val="false"/>
          <w:color w:val="000000"/>
          <w:sz w:val="22"/>
        </w:rPr>
        <w:t>) and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a duly completed Compliance Certificate signed by the chief executive officer, chief financial officer, treasurer or controller which is a Responsible Officer of the Company, and in the event of any change in generally accepted accounting principles used in the preparation of such financial statements, the Company shall also provide, if necessary for the determination of compliance with </w:t>
      </w:r>
      <w:r>
        <w:rPr>
          <w:rFonts w:ascii="Times New Roman;serif" w:hAnsi="Times New Roman;serif"/>
          <w:b w:val="false"/>
          <w:color w:val="000000"/>
          <w:sz w:val="22"/>
          <w:u w:val="single"/>
        </w:rPr>
        <w:t>Section 7.11</w:t>
      </w:r>
      <w:r>
        <w:rPr>
          <w:rFonts w:ascii="Times New Roman;serif" w:hAnsi="Times New Roman;serif"/>
          <w:b w:val="false"/>
          <w:color w:val="000000"/>
          <w:sz w:val="22"/>
        </w:rPr>
        <w:t>, a statement of reconciliation conforming such financial statements to GAAP. Unless the Administrative Agent or a Lender requests executed originals, delivery of the Compliance Certificate may be by electronic communication including fax or email and shall be deemed to be an original and authentic counterpart thereof for all purposes.</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Updated Schedules</w:t>
      </w:r>
      <w:r>
        <w:rPr>
          <w:rFonts w:ascii="Times New Roman;serif" w:hAnsi="Times New Roman;serif"/>
          <w:b w:val="false"/>
          <w:color w:val="000000"/>
          <w:sz w:val="22"/>
        </w:rPr>
        <w:t xml:space="preserve">. Concurrently with the delivery of the Compliance Certificate referred to in </w:t>
      </w:r>
      <w:r>
        <w:rPr>
          <w:rFonts w:ascii="Times New Roman;serif" w:hAnsi="Times New Roman;serif"/>
          <w:b w:val="false"/>
          <w:color w:val="000000"/>
          <w:sz w:val="22"/>
          <w:u w:val="single"/>
        </w:rPr>
        <w:t>Section 6.02(a</w:t>
      </w:r>
      <w:r>
        <w:rPr>
          <w:rFonts w:ascii="Times New Roman;serif" w:hAnsi="Times New Roman;serif"/>
          <w:b w:val="false"/>
          <w:color w:val="000000"/>
          <w:sz w:val="22"/>
        </w:rPr>
        <w:t xml:space="preserve">), the following updated Schedules to this Agreement (which may be attached to the Compliance Certificate) to the extent required to make the representation related to such Schedule true and correct as of the date of such Compliance Certificate: </w:t>
      </w:r>
      <w:r>
        <w:rPr>
          <w:rFonts w:ascii="Times New Roman;serif" w:hAnsi="Times New Roman;serif"/>
          <w:b w:val="false"/>
          <w:color w:val="000000"/>
          <w:sz w:val="22"/>
          <w:u w:val="single"/>
        </w:rPr>
        <w:t>Schedules 1.01(c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5.21(a</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5.21(b)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Changes in Entity Structure</w:t>
      </w:r>
      <w:r>
        <w:rPr>
          <w:rFonts w:ascii="Times New Roman;serif" w:hAnsi="Times New Roman;serif"/>
          <w:b w:val="false"/>
          <w:color w:val="000000"/>
          <w:sz w:val="22"/>
        </w:rPr>
        <w:t>. At least ten (10) days following (or such extended period of time as agreed to by the Administrative Agent) any merger, consolidation, amalgamation, dissolution or other change in entity structure of any Loan Party permitted pursuant to the terms hereof, provide notice of such change in entity structure to the Administrative Agent, along with such other information as reasonably requested by the Administrative Agent. Provide notice to the Administrative Agent, not less than ten (10) days following (or such extended period of time as agreed to by the Administrative Agent) of any change in any Loan Party’s legal name, jurisdiction of organization, or organizational existence.</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Audit Reports; Management Letters; Recommendations</w:t>
      </w:r>
      <w:r>
        <w:rPr>
          <w:rFonts w:ascii="Times New Roman;serif" w:hAnsi="Times New Roman;serif"/>
          <w:b w:val="false"/>
          <w:color w:val="000000"/>
          <w:sz w:val="22"/>
        </w:rPr>
        <w:t>. Promptly after any request by the Administrative Agent or any Lender, copies of any detailed audit reports, management letters or recommendations submitted to the board of directors (or the audit committee of the board of directors) of any Loan Party by independent accountants in connection with the accounts or books of any Loan Party or any of its Subsidiaries, or any audit of any of them.</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Annual Reports; Etc</w:t>
      </w:r>
      <w:r>
        <w:rPr>
          <w:rFonts w:ascii="Times New Roman;serif" w:hAnsi="Times New Roman;serif"/>
          <w:b w:val="false"/>
          <w:color w:val="000000"/>
          <w:sz w:val="22"/>
        </w:rPr>
        <w:t>. Promptly after the same are available, copies of each annual report, proxy or financial statement or other report or communication sent to the stockholders of the Borrowers, and copies of all annual, regular, periodic and special reports and registration statements which the Borrowers may file or be required to file with the SEC under Section 13 or 15(d) of the Securities Exchange Act of 1934, or with any national securities exchange, and in any case not otherwise required to be delivered to the Administrative Agent pursuant 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Debt Securities Statements and Reports</w:t>
      </w:r>
      <w:r>
        <w:rPr>
          <w:rFonts w:ascii="Times New Roman;serif" w:hAnsi="Times New Roman;serif"/>
          <w:b w:val="false"/>
          <w:color w:val="000000"/>
          <w:sz w:val="22"/>
        </w:rPr>
        <w:t xml:space="preserve">. Promptly after the furnishing thereof, copies of any material statement or report furnished to any holder of debt securities of any Loan Party or of any of its Subsidiaries pursuant to the terms of any indenture, loan or credit or similar agreement and not otherwise required to be furnished to the Lenders pursuant to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or any other clause of this </w:t>
      </w:r>
      <w:r>
        <w:rPr>
          <w:rFonts w:ascii="Times New Roman;serif" w:hAnsi="Times New Roman;serif"/>
          <w:b w:val="false"/>
          <w:color w:val="000000"/>
          <w:sz w:val="22"/>
          <w:u w:val="single"/>
        </w:rPr>
        <w:t>Section 6.02</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85445"/>
                <wp:effectExtent l="0" t="0" r="0" b="0"/>
                <wp:wrapNone/>
                <wp:docPr id="140" name="Frame1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105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105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SEC Notices</w:t>
      </w:r>
      <w:r>
        <w:rPr>
          <w:rFonts w:ascii="Times New Roman;serif" w:hAnsi="Times New Roman;serif"/>
          <w:b w:val="false"/>
          <w:color w:val="000000"/>
          <w:sz w:val="22"/>
        </w:rPr>
        <w:t>. Promptly, and in any event within five (5) Business Days after receipt thereof by any Loan Party or any Subsidiary thereof, copies of each notice or other correspondence received from the SEC (or comparable agency in any applicable non-U.S. jurisdiction) concerning any investigation or possible investigation or other inquiry by such agency regarding financial or other operational results of any Loan Party or any Subsidiary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Notices</w:t>
      </w:r>
      <w:r>
        <w:rPr>
          <w:rFonts w:ascii="Times New Roman;serif" w:hAnsi="Times New Roman;serif"/>
          <w:b w:val="false"/>
          <w:color w:val="000000"/>
          <w:sz w:val="22"/>
        </w:rPr>
        <w:t>. Not later than five (5) Business Days after receipt thereof by any Loan Party or any Subsidiary thereof, copies of all notices, requests and other documents (including amendments, waivers and other modifications) so received under or pursuant to any promissory note, indenture, loan or credit or similar agreement regarding or related to any breach or default by any party thereto or any other event that could materially impair the value of the interests or the rights of any Loan Party or otherwise have a Material Adverse Effect and, from time to time upon request by the Administrative Agent, such information and reports regarding such promissory notes, indentures and loan and credit and similar agreements as the Administrative Agent may reasonably request.</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Environmental Notice</w:t>
      </w:r>
      <w:r>
        <w:rPr>
          <w:rFonts w:ascii="Times New Roman;serif" w:hAnsi="Times New Roman;serif"/>
          <w:b w:val="false"/>
          <w:color w:val="000000"/>
          <w:sz w:val="22"/>
        </w:rPr>
        <w:t>. Promptly after the assertion or occurrence thereof, notice of any action or proceeding against or of any noncompliance by any Loan Party or any of its Subsidiaries with any Environmental Law or Environmental Permit that could reasonably be expected to have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Anti-Money-Laundering; Beneficial Ownership Regulation</w:t>
      </w:r>
      <w:r>
        <w:rPr>
          <w:rFonts w:ascii="Times New Roman;serif" w:hAnsi="Times New Roman;serif"/>
          <w:b w:val="false"/>
          <w:color w:val="000000"/>
          <w:sz w:val="22"/>
        </w:rPr>
        <w:t xml:space="preserve">. Promptly following any request therefor, information and documentation reasonably requested by the Administrative Agent or any Lender for purposes of compliance with applicable “know your customer” and anti-money-laundering rules and regulations in any applicable jurisdiction, including, without limitation, the Patriot Act. </w:t>
      </w:r>
    </w:p>
    <w:p>
      <w:pPr>
        <w:pStyle w:val="TextBody"/>
        <w:bidi w:val="0"/>
        <w:spacing w:lineRule="auto" w:line="288"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Beneficial Ownership</w:t>
      </w:r>
      <w:r>
        <w:rPr>
          <w:rFonts w:ascii="Times New Roman;serif" w:hAnsi="Times New Roman;serif"/>
          <w:b w:val="false"/>
          <w:color w:val="000000"/>
          <w:sz w:val="22"/>
        </w:rPr>
        <w:t>. To the extent any Loan Party qualifies as a “legal entity customer” under the Beneficial Ownership Regulation, an updated Beneficial Ownership Certification promptly following any change in the information provided in the Beneficial Ownership Certification delivered to any Lender in relation to such Loan Party that would result in a change to the list of beneficial owners identified in such certification.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Additional Information</w:t>
      </w:r>
      <w:r>
        <w:rPr>
          <w:rFonts w:ascii="Times New Roman;serif" w:hAnsi="Times New Roman;serif"/>
          <w:b w:val="false"/>
          <w:color w:val="000000"/>
          <w:sz w:val="22"/>
        </w:rPr>
        <w:t xml:space="preserve">. Promptly, such additional information regarding the business, financial, legal or corporate affairs of any Loan Party, or compliance with the terms of the Loan Documents, as the Administrative Agent or any Lender may from time to time reasonably request (subject to the last sentence of </w:t>
      </w:r>
      <w:r>
        <w:rPr>
          <w:rFonts w:ascii="Times New Roman;serif" w:hAnsi="Times New Roman;serif"/>
          <w:b w:val="false"/>
          <w:color w:val="000000"/>
          <w:sz w:val="22"/>
          <w:u w:val="single"/>
        </w:rPr>
        <w:t>Section 6.10</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(m)Documents required to be delivered pursuant to </w:t>
      </w:r>
      <w:r>
        <w:rPr>
          <w:rFonts w:ascii="Times New Roman;serif" w:hAnsi="Times New Roman;serif"/>
          <w:b w:val="false"/>
          <w:color w:val="000000"/>
          <w:sz w:val="22"/>
          <w:u w:val="single"/>
        </w:rPr>
        <w:t>Section 6.01(a</w:t>
      </w:r>
      <w:r>
        <w:rPr>
          <w:rFonts w:ascii="Times New Roman;serif" w:hAnsi="Times New Roman;serif"/>
          <w:b w:val="false"/>
          <w:color w:val="000000"/>
          <w:sz w:val="22"/>
        </w:rPr>
        <w:t>) or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Section 6.02(e)</w:t>
      </w:r>
      <w:r>
        <w:rPr>
          <w:color w:val="000000"/>
        </w:rPr>
        <w:t xml:space="preserve"> </w:t>
      </w:r>
      <w:r>
        <w:rPr>
          <w:rFonts w:ascii="Times New Roman;serif" w:hAnsi="Times New Roman;serif"/>
          <w:b w:val="false"/>
          <w:color w:val="000000"/>
          <w:sz w:val="22"/>
        </w:rPr>
        <w:t xml:space="preserve">(to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Times New Roman;serif" w:hAnsi="Times New Roman;serif"/>
          <w:b w:val="false"/>
          <w:color w:val="000000"/>
          <w:sz w:val="22"/>
          <w:u w:val="single"/>
        </w:rPr>
        <w:t>Schedule 1.01(a</w:t>
      </w:r>
      <w:r>
        <w:rPr>
          <w:rFonts w:ascii="Times New Roman;serif" w:hAnsi="Times New Roman;serif"/>
          <w:b w:val="false"/>
          <w:color w:val="000000"/>
          <w:sz w:val="22"/>
        </w:rPr>
        <w:t xml:space="preserve">); or (ii)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Company shall deliver paper copies of such documents to the Administrative Agent or any Lender upon its request to the Company to deliver such paper copies until a written request to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85445"/>
                <wp:effectExtent l="0" t="0" r="0" b="0"/>
                <wp:wrapNone/>
                <wp:docPr id="141" name="Frame1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106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106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cease delivering paper copies is given by the Administrative Agent or such Lender and (y) the Company shall notify the Administrative Agent and each Lender (by fax transmission or e-mail transmission) of the posting of any such documents and provide to the Administrative Agent by e-mail electronic versions (i.e., soft copies) of such documents. The Administrative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requesting delivery to it or maintaining its copies of such documents.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(n)Each Borrower hereby acknowledges that (i) the Administrative Agent and/or an Affiliate thereof may, but shall not be obligated to, make available to the Lenders and the L/C Issuer materials and/or information provided by or on behalf of the Borrowers hereunder (collectively, “</w:t>
      </w:r>
      <w:r>
        <w:rPr>
          <w:rFonts w:ascii="Times New Roman;serif" w:hAnsi="Times New Roman;serif"/>
          <w:b w:val="false"/>
          <w:i/>
          <w:color w:val="000000"/>
          <w:sz w:val="22"/>
          <w:u w:val="single"/>
        </w:rPr>
        <w:t>Borrower Materials</w:t>
      </w:r>
      <w:r>
        <w:rPr>
          <w:color w:val="000000"/>
        </w:rPr>
        <w:t>”</w:t>
      </w:r>
      <w:r>
        <w:rPr>
          <w:rFonts w:ascii="Times New Roman;serif" w:hAnsi="Times New Roman;serif"/>
          <w:b w:val="false"/>
          <w:color w:val="000000"/>
          <w:sz w:val="22"/>
        </w:rPr>
        <w:t>) by posting the Borrower Materials on IntraLinks, Syndtrak, ClearPar or a substantially similar electronic transmission system (the “</w:t>
      </w:r>
      <w:r>
        <w:rPr>
          <w:rFonts w:ascii="Times New Roman;serif" w:hAnsi="Times New Roman;serif"/>
          <w:b w:val="false"/>
          <w:i/>
          <w:color w:val="000000"/>
          <w:sz w:val="22"/>
          <w:u w:val="single"/>
        </w:rPr>
        <w:t>Platform</w:t>
      </w:r>
      <w:r>
        <w:rPr>
          <w:color w:val="000000"/>
        </w:rPr>
        <w:t>”</w:t>
      </w:r>
      <w:r>
        <w:rPr>
          <w:rFonts w:ascii="Times New Roman;serif" w:hAnsi="Times New Roman;serif"/>
          <w:b w:val="false"/>
          <w:color w:val="000000"/>
          <w:sz w:val="22"/>
        </w:rPr>
        <w:t>) and (ii) certain of the Lenders (each, a “</w:t>
      </w:r>
      <w:r>
        <w:rPr>
          <w:rFonts w:ascii="Times New Roman;serif" w:hAnsi="Times New Roman;serif"/>
          <w:b w:val="false"/>
          <w:i/>
          <w:color w:val="000000"/>
          <w:sz w:val="22"/>
          <w:u w:val="single"/>
        </w:rPr>
        <w:t>Public Lender</w:t>
      </w:r>
      <w:r>
        <w:rPr>
          <w:color w:val="000000"/>
        </w:rPr>
        <w:t>”</w:t>
      </w:r>
      <w:r>
        <w:rPr>
          <w:rFonts w:ascii="Times New Roman;serif" w:hAnsi="Times New Roman;serif"/>
          <w:b w:val="false"/>
          <w:color w:val="000000"/>
          <w:sz w:val="22"/>
        </w:rPr>
        <w:t>) may have personnel who do not wish to receive material non-public information with respect to the Borrowers or their Affiliates, or the respective securities of any of the foregoing, and who may be engaged in investment and other market-related activities with respect to such Persons’ securities. The Company hereby agrees that so long as the Company is the issuer of any outstanding debt or Equity Interests that are registered or issued pursuant to a private offering or is actively contemplating issuing any such securities it will use commercially reasonable efforts to identify that portion of the Borrower Materials that may be distributed to the Public Lenders and that (A) all such Borrower Materials shall be clearly and conspicuously marked “PUBLIC” which, at a minimum, shall mean that the word “PUBLIC” shall appear prominently on the first page thereof; (B) by marking Borrower Materials “PUBLIC,” the Borrowers shall be deemed to have authorized the Administrative Agent, any Affiliate thereof, the Arranger, the L/C Issuer and the Lenders to treat such Borrower Materials as not containing any material non-public information (although it may be sensitive and proprietary) with respect to the Borrowers or its securities for purposes of United States federal and state, and Canadian provincial and territorial securities laws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to the extent such Borrower Materials constitute Information, they shall be treated as set forth in </w:t>
      </w:r>
      <w:r>
        <w:rPr>
          <w:rFonts w:ascii="Times New Roman;serif" w:hAnsi="Times New Roman;serif"/>
          <w:b w:val="false"/>
          <w:color w:val="000000"/>
          <w:sz w:val="22"/>
          <w:u w:val="single"/>
        </w:rPr>
        <w:t>Section 11.07</w:t>
      </w:r>
      <w:r>
        <w:rPr>
          <w:rFonts w:ascii="Times New Roman;serif" w:hAnsi="Times New Roman;serif"/>
          <w:b w:val="false"/>
          <w:color w:val="000000"/>
          <w:sz w:val="22"/>
        </w:rPr>
        <w:t xml:space="preserve">); (C) all Borrower Materials marked “PUBLIC” are permitted to be made available through a portion of the Platform designated “Public Side Information;” and (D) the Administrative Agent and any Affiliate thereof and the Arranger shall be entitled to treat any Borrower Materials that are not marked “PUBLIC” as being suitable only for posting on a portion of the Platform not designated “Public Side Information.”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(o)Each Loan Party shall ensure that all pension schemes operated by or maintained for the benefit of members of any Loan Party or their Affiliates and/or any of their employees are fully funded based on the statutory funding objective under sections 221 and 222 of the United Kingdom Pensions Act 2004 and that no action or omission is taken by any member of any Loan Party or any of their Affiliates in relation to such a pension scheme which has or is reasonably likely to have a Material Adverse Effect (including, without limitation, the termination or commencement of winding-up proceedings of any such pension scheme or any member of the Group ceasing to employ any member of such a pension scheme).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(p)To the extent applicable each Loan Party shall ensure that no member of the Group is or has been at any time an employer (for the purposes of sections 38 to 51 of the United Kingdom Pensions Act 2004) of an occupational pension scheme which is not a money purchase scheme (both terms as defined in the United Kingdom Pension Schemes Act 1993) or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85445"/>
                <wp:effectExtent l="0" t="0" r="0" b="0"/>
                <wp:wrapNone/>
                <wp:docPr id="142" name="Frame1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107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107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"connected" with or an "associate" of (as those terms are used in sections 38 or 43 of the United Kingdom Pensions Act 2004) such an employer.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(q)Each Loan Party shall deliver to the Administrative Agent at such times as those reports are prepared in order to comply with the then current statutory or auditing requirements (as applicable either to the trustees of any relevant schemes or to the relevant Loan Party), actuarial reports in relation to all pension schemes mentioned in paragraph (o) or (p) above.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(r)Each Loan Party shall promptly notify the Administrative Agent of any material change in the rate of contributions to any pension schemes mentioned in (o) or (p) above paid or recommended to be paid (whether by the scheme actuary or otherwise) or required (by law or otherwise).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(s)Each Loan Party shall immediately notify the Administrative Agent of any investigation or proposed investigation by the Pensions Regulator which may lead to the issue of a Financial Support Direction or a Contribution Notice to it/any member of the Group.</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(t)Each Loan Party shall immediately notify the Administrative Agent if it receives a Financial Support Direction or a Contribution Notice from the Pensions Regulator.</w:t>
      </w:r>
    </w:p>
    <w:p>
      <w:pPr>
        <w:pStyle w:val="TextBody"/>
        <w:bidi w:val="0"/>
        <w:spacing w:lineRule="auto" w:line="240" w:before="0" w:after="240"/>
        <w:ind w:left="0" w:right="0" w:firstLine="720"/>
        <w:jc w:val="both"/>
        <w:rPr/>
      </w:pPr>
      <w:r>
        <w:rPr>
          <w:rFonts w:ascii="Times New Roman;serif" w:hAnsi="Times New Roman;serif"/>
          <w:b/>
          <w:color w:val="000000"/>
          <w:sz w:val="22"/>
        </w:rPr>
        <w:t>6.03</w:t>
      </w:r>
      <w:r>
        <w:rPr>
          <w:rFonts w:ascii="Times New Roman;serif" w:hAnsi="Times New Roman;serif"/>
          <w:b/>
          <w:color w:val="000000"/>
          <w:sz w:val="22"/>
          <w:u w:val="single"/>
        </w:rPr>
        <w:t>Notices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Promptly, but in any event within five (5) Business Days, deliver to the Administrative Agent for prompt distribution by the Administrative Agent to each Lender a written notice: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(a)of the occurrence of any Default;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(b)of any matter that has resulted or could reasonably be expected to result in a Material Adverse Effect;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(c)of the occurrence of any ERISA Event or any Canadian Pension Event;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(d)of any material change in accounting policies or financial reporting practices by any Loan Party or any Subsidiary thereof, including any determination by the Borrowers referred to in </w:t>
      </w:r>
      <w:r>
        <w:rPr>
          <w:rFonts w:ascii="Times New Roman;serif" w:hAnsi="Times New Roman;serif"/>
          <w:b w:val="false"/>
          <w:color w:val="000000"/>
          <w:sz w:val="22"/>
          <w:u w:val="single"/>
        </w:rPr>
        <w:t>Section 2.10(b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notice pursuant to this </w:t>
      </w:r>
      <w:r>
        <w:rPr>
          <w:rFonts w:ascii="Times New Roman;serif" w:hAnsi="Times New Roman;serif"/>
          <w:b w:val="false"/>
          <w:color w:val="000000"/>
          <w:sz w:val="22"/>
          <w:u w:val="single"/>
        </w:rPr>
        <w:t>Section 6.03</w:t>
      </w:r>
      <w:r>
        <w:rPr>
          <w:color w:val="000000"/>
        </w:rPr>
        <w:t xml:space="preserve"> </w:t>
      </w:r>
      <w:r>
        <w:rPr>
          <w:rFonts w:ascii="Times New Roman;serif" w:hAnsi="Times New Roman;serif"/>
          <w:b w:val="false"/>
          <w:color w:val="000000"/>
          <w:sz w:val="22"/>
        </w:rPr>
        <w:t xml:space="preserve">shall be accompanied by a statement of a Responsible Officer of the Company setting forth details of the occurrence referred to therein and to the extent applicable, stating what action the Company has taken and proposes to take with respect thereto. Each notice pursuant to </w:t>
      </w:r>
      <w:r>
        <w:rPr>
          <w:rFonts w:ascii="Times New Roman;serif" w:hAnsi="Times New Roman;serif"/>
          <w:b w:val="false"/>
          <w:color w:val="000000"/>
          <w:sz w:val="22"/>
          <w:u w:val="single"/>
        </w:rPr>
        <w:t>Section 6.03(a</w:t>
      </w:r>
      <w:r>
        <w:rPr>
          <w:rFonts w:ascii="Times New Roman;serif" w:hAnsi="Times New Roman;serif"/>
          <w:b w:val="false"/>
          <w:color w:val="000000"/>
          <w:sz w:val="22"/>
        </w:rPr>
        <w:t>) shall describe with particularity any and all provisions of this Agreement and any other Loan Document that have been breached.</w:t>
      </w:r>
    </w:p>
    <w:p>
      <w:pPr>
        <w:pStyle w:val="TextBody"/>
        <w:bidi w:val="0"/>
        <w:spacing w:lineRule="auto" w:line="240" w:before="0" w:after="240"/>
        <w:ind w:left="0" w:right="0" w:firstLine="720"/>
        <w:jc w:val="both"/>
        <w:rPr/>
      </w:pPr>
      <w:r>
        <w:rPr>
          <w:rFonts w:ascii="Times New Roman;serif" w:hAnsi="Times New Roman;serif"/>
          <w:b/>
          <w:color w:val="000000"/>
          <w:sz w:val="22"/>
        </w:rPr>
        <w:t>6.04</w:t>
      </w:r>
      <w:r>
        <w:rPr>
          <w:rFonts w:ascii="Times New Roman;serif" w:hAnsi="Times New Roman;serif"/>
          <w:b/>
          <w:color w:val="000000"/>
          <w:sz w:val="22"/>
          <w:u w:val="single"/>
        </w:rPr>
        <w:t>Payment of Obligations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Pay and discharge as the same shall become due and payable, all its obligations and liabilities, including (a) all Tax liabilities, assessments and governmental charges or levies upon it or its properties or assets, and (b) all lawful claims which, if unpaid, would by law become a Lien (other than a Permitted Lien) upon its property, except, in the case of any of the foregoing in this </w:t>
      </w:r>
      <w:r>
        <w:rPr>
          <w:rFonts w:ascii="Times New Roman;serif" w:hAnsi="Times New Roman;serif"/>
          <w:b w:val="false"/>
          <w:color w:val="000000"/>
          <w:sz w:val="22"/>
          <w:u w:val="single"/>
        </w:rPr>
        <w:t>Section 6.04</w:t>
      </w:r>
      <w:r>
        <w:rPr>
          <w:rFonts w:ascii="Times New Roman;serif" w:hAnsi="Times New Roman;serif"/>
          <w:b w:val="false"/>
          <w:color w:val="000000"/>
          <w:sz w:val="22"/>
        </w:rPr>
        <w:t xml:space="preserve">, to the extent (i) the same are being contested in good faith by appropriate proceedings diligently conducted and adequate reserves in accordance with GAAP are being maintained by the Loan Parties or such Subsidiary or (ii) the failure to pay or discharge the same could not reasonably be expected to have a Material Adverse Effect.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85445"/>
                <wp:effectExtent l="0" t="0" r="0" b="0"/>
                <wp:wrapNone/>
                <wp:docPr id="143" name="Frame1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108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108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6.05</w:t>
      </w:r>
      <w:r>
        <w:rPr>
          <w:rFonts w:ascii="Times New Roman;serif" w:hAnsi="Times New Roman;serif"/>
          <w:b/>
          <w:color w:val="000000"/>
          <w:sz w:val="22"/>
          <w:u w:val="single"/>
        </w:rPr>
        <w:t>Preservation of Existence, Etc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(a)Preserve, renew and maintain in full force and effect its legal existence and good standing under the Laws of the jurisdiction of its organization except in a transaction permitted by </w:t>
      </w:r>
      <w:r>
        <w:rPr>
          <w:rFonts w:ascii="Times New Roman;serif" w:hAnsi="Times New Roman;serif"/>
          <w:b w:val="false"/>
          <w:color w:val="000000"/>
          <w:sz w:val="22"/>
          <w:u w:val="single"/>
        </w:rPr>
        <w:t>Section 7.04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7.05</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(b)take all reasonable action to maintain all rights, privileges, permits, licenses and franchises necessary or desirable in the normal conduct of its business, except to the extent that failure to do so could not reasonably be expected to have a Material Adverse Effect;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(c)take all reasonable action to preserve or renew all of its registered patents, trademarks, trade names, service marks and designs, the non-preservation of which could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color w:val="000000"/>
          <w:sz w:val="22"/>
        </w:rPr>
        <w:t>6.06</w:t>
      </w:r>
      <w:r>
        <w:rPr>
          <w:rFonts w:ascii="Times New Roman;serif" w:hAnsi="Times New Roman;serif"/>
          <w:b/>
          <w:color w:val="000000"/>
          <w:sz w:val="22"/>
          <w:u w:val="single"/>
        </w:rPr>
        <w:t>Maintenance of Properties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Maintain, preserve and protect all of its material properties and equipment necessary in the operation of its business in good working order and condition, ordinary wear and tear excepted and casualty or condemnation excepted, and make all necessary repairs thereto and renewals and replacements thereof, except, in each of the foregoing cases, where the failure to do so could not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color w:val="000000"/>
          <w:sz w:val="22"/>
        </w:rPr>
        <w:t>6.07</w:t>
      </w:r>
      <w:r>
        <w:rPr>
          <w:rFonts w:ascii="Times New Roman;serif" w:hAnsi="Times New Roman;serif"/>
          <w:b/>
          <w:color w:val="000000"/>
          <w:sz w:val="22"/>
          <w:u w:val="single"/>
        </w:rPr>
        <w:t>Maintenance of Insurance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Maintain with financially sound and reputable insurance companies not Affiliates of the Company,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or similar locations. The Company will furnish to the Administrative Agent, upon its request, information in reasonable detail as to the insurance so maintained.</w:t>
      </w:r>
    </w:p>
    <w:p>
      <w:pPr>
        <w:pStyle w:val="TextBody"/>
        <w:bidi w:val="0"/>
        <w:spacing w:lineRule="auto" w:line="240" w:before="0" w:after="240"/>
        <w:ind w:left="0" w:right="0" w:firstLine="720"/>
        <w:jc w:val="both"/>
        <w:rPr/>
      </w:pPr>
      <w:r>
        <w:rPr>
          <w:rFonts w:ascii="Times New Roman;serif" w:hAnsi="Times New Roman;serif"/>
          <w:b/>
          <w:color w:val="000000"/>
          <w:sz w:val="22"/>
        </w:rPr>
        <w:t>6.08</w:t>
      </w:r>
      <w:r>
        <w:rPr>
          <w:rFonts w:ascii="Times New Roman;serif" w:hAnsi="Times New Roman;serif"/>
          <w:b/>
          <w:color w:val="000000"/>
          <w:sz w:val="22"/>
          <w:u w:val="single"/>
        </w:rPr>
        <w:t>Compliance with Laws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Comply with its Organization Documents and the requirements of all Applicable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color w:val="000000"/>
          <w:sz w:val="22"/>
        </w:rPr>
        <w:t>6.09</w:t>
      </w:r>
      <w:r>
        <w:rPr>
          <w:rFonts w:ascii="Times New Roman;serif" w:hAnsi="Times New Roman;serif"/>
          <w:b/>
          <w:color w:val="000000"/>
          <w:sz w:val="22"/>
          <w:u w:val="single"/>
        </w:rPr>
        <w:t>Books and Records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Maintain proper books of record and account, in which full, true and correct (in all material respects) entries in conformity with GAAP consistently applied shall be made of all financial transactions and matters involving the assets and business of such Loan Party or such Subsidiary, as the case may be; and maintain such books of record and account in material conformity with all applicable requirements of any Governmental Authority having regulatory jurisdiction over such Loan Party or such Subsidiary, as the case may be.</w:t>
      </w:r>
    </w:p>
    <w:p>
      <w:pPr>
        <w:pStyle w:val="TextBody"/>
        <w:bidi w:val="0"/>
        <w:spacing w:lineRule="auto" w:line="240" w:before="0" w:after="240"/>
        <w:ind w:left="0" w:right="0" w:firstLine="720"/>
        <w:jc w:val="both"/>
        <w:rPr/>
      </w:pPr>
      <w:r>
        <w:rPr>
          <w:rFonts w:ascii="Times New Roman;serif" w:hAnsi="Times New Roman;serif"/>
          <w:b/>
          <w:color w:val="000000"/>
          <w:sz w:val="22"/>
        </w:rPr>
        <w:t>6.10</w:t>
      </w:r>
      <w:r>
        <w:rPr>
          <w:rFonts w:ascii="Times New Roman;serif" w:hAnsi="Times New Roman;serif"/>
          <w:b/>
          <w:color w:val="000000"/>
          <w:sz w:val="22"/>
          <w:u w:val="single"/>
        </w:rPr>
        <w:t>Inspection Rights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85445"/>
                <wp:effectExtent l="0" t="0" r="0" b="0"/>
                <wp:wrapNone/>
                <wp:docPr id="144" name="Frame1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109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109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directors, officers, and independent public accountants, all at the reasonable expense of the Borrowers and at such reasonable times during normal business hours and limited to no more than one time during any calendar year absent the occurrence and continuance of an Event of Default, upon reasonable advance notice to the Borrowers;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when an Event of Default exists and continues the Administrative Agent or any Lender (or any of their respective representatives or independent contractors) may do any of the foregoing at the expense of the Borrowers at any time during normal business hours and upon reasonable advance notice. So long as no Event of Default shall have occurred and be continuing, the Administrative Agent shall give the Borrowers the opportunity to participate in any discussions with the Borrowers’ independent public accountants. Notwithstanding the foregoing or any other provision of this Agreement or any other Loan Document, in no event will the Company or its Subsidiaries be required to disclose to Administrative Agent or any Lender (i) documents subject to attorney client privilege or constitutes attorney work product, which could reasonably be expected to be lost or forfeited if disclosed to the Administrative Agent or any Lender or (ii) other documents in respect of which disclosure to the Administrative Agent or any Lender (or their representatives or contractors) is prohibited by applicable Law or any binding agreement with a Person who is not an Affiliate (to the extent not entered into in contemplation of this provision).</w:t>
      </w:r>
    </w:p>
    <w:p>
      <w:pPr>
        <w:pStyle w:val="TextBody"/>
        <w:bidi w:val="0"/>
        <w:spacing w:lineRule="auto" w:line="240" w:before="0" w:after="240"/>
        <w:ind w:left="0" w:right="0" w:firstLine="720"/>
        <w:jc w:val="both"/>
        <w:rPr/>
      </w:pPr>
      <w:r>
        <w:rPr>
          <w:rFonts w:ascii="Times New Roman;serif" w:hAnsi="Times New Roman;serif"/>
          <w:b/>
          <w:color w:val="000000"/>
          <w:sz w:val="22"/>
        </w:rPr>
        <w:t>6.11</w:t>
      </w:r>
      <w:r>
        <w:rPr>
          <w:rFonts w:ascii="Times New Roman;serif" w:hAnsi="Times New Roman;serif"/>
          <w:b/>
          <w:color w:val="000000"/>
          <w:sz w:val="22"/>
          <w:u w:val="single"/>
        </w:rPr>
        <w:t>Use of Proceeds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Use the proceeds of the Credit Extensions to refinance certain existing indebtedness under the Existing Credit Agreement and for general corporate purposes (including for bonus and retention payments and other compensation programs of the Company implemented in the ordinary course of business) not in contravention of any Law or of any Loan Document. Notwithstanding the foregoing, the provisions of Article II and this Section 6.11 shall not be interpreted to contravene, or require any notification to the Attorney General of Canada under, the Foreign Extraterritorial Measures (United States) Order, 1992, by any Canadian Loan Party or any Canadian Subsidiary. </w:t>
      </w:r>
    </w:p>
    <w:p>
      <w:pPr>
        <w:pStyle w:val="TextBody"/>
        <w:bidi w:val="0"/>
        <w:spacing w:lineRule="auto" w:line="240" w:before="0" w:after="240"/>
        <w:ind w:left="0" w:right="0" w:firstLine="720"/>
        <w:jc w:val="both"/>
        <w:rPr/>
      </w:pPr>
      <w:r>
        <w:rPr>
          <w:rFonts w:ascii="Times New Roman;serif" w:hAnsi="Times New Roman;serif"/>
          <w:b/>
          <w:color w:val="000000"/>
          <w:sz w:val="22"/>
        </w:rPr>
        <w:t>6.12</w:t>
      </w:r>
      <w:r>
        <w:rPr>
          <w:rFonts w:ascii="Times New Roman;serif" w:hAnsi="Times New Roman;serif"/>
          <w:b/>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6.13</w:t>
      </w:r>
      <w:r>
        <w:rPr>
          <w:rFonts w:ascii="Times New Roman;serif" w:hAnsi="Times New Roman;serif"/>
          <w:b/>
          <w:color w:val="000000"/>
          <w:sz w:val="22"/>
          <w:u w:val="single"/>
        </w:rPr>
        <w:t>Covenant to Guarantee Obligations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Loan Parties will cause each of their Material Domestic Subsidiaries whether newly formed, after acquired or otherwise existing to promptly (and in any event within thirty (30) days after such Subsidiary is formed or acquired or such Person becomes a Material Domestic Subsidiary (or such longer period of time as agreed to by the Administrative Agent in its reasonable discretion)) become a Guarantor hereunder by way of execution of a Joinder Agreement. In connection therewith, the Loan Parties shall give notice to the Administrative Agent (i) not less than ten (10) days prior to creating a Material Domestic Subsidiary (or such shorter period of time as agreed to by the Administrative Agent in its reasonable discretion), or acquiring the Equity Interests of any other Person that, once acquired, would constitute a Material Domestic Subsidiary or (ii) promptly after an existing Subsidiary becomes a Material Domestic Subsidiary. In connection with the foregoing, the Loan Parties shall deliver to the Administrative Agent, with respect to each new Guarantor to the extent applicable, substantially the same documentation required pursuant to </w:t>
      </w:r>
      <w:r>
        <w:rPr>
          <w:rFonts w:ascii="Times New Roman;serif" w:hAnsi="Times New Roman;serif"/>
          <w:b w:val="false"/>
          <w:color w:val="000000"/>
          <w:sz w:val="22"/>
          <w:u w:val="single"/>
        </w:rPr>
        <w:t>Sections 4.01</w:t>
      </w:r>
      <w:r>
        <w:rPr>
          <w:color w:val="000000"/>
        </w:rPr>
        <w:t xml:space="preserve"> </w:t>
      </w:r>
      <w:r>
        <w:rPr>
          <w:rFonts w:ascii="Times New Roman;serif" w:hAnsi="Times New Roman;serif"/>
          <w:b w:val="false"/>
          <w:color w:val="000000"/>
          <w:sz w:val="22"/>
        </w:rPr>
        <w:t xml:space="preserve">and such other documents or agreements as the Administrative Agent may reasonably request, including without limitation, updated Schedules </w:t>
      </w:r>
      <w:r>
        <w:rPr>
          <w:rFonts w:ascii="Times New Roman;serif" w:hAnsi="Times New Roman;serif"/>
          <w:b w:val="false"/>
          <w:color w:val="000000"/>
          <w:sz w:val="22"/>
          <w:u w:val="single"/>
        </w:rPr>
        <w:t>1.01(c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5.12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5.21(a</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5.21(b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6.14</w:t>
      </w:r>
      <w:r>
        <w:rPr>
          <w:rFonts w:ascii="Times New Roman;serif" w:hAnsi="Times New Roman;serif"/>
          <w:b/>
          <w:color w:val="000000"/>
          <w:sz w:val="22"/>
          <w:u w:val="single"/>
        </w:rPr>
        <w:t>Compliance with Environmental Laws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Comply in all material respects, and cause all lessees and other Persons operating or occupying its properties to comply, in all material respects, with all applicable Environmental Laws and Environmental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85445"/>
                <wp:effectExtent l="0" t="0" r="0" b="0"/>
                <wp:wrapNone/>
                <wp:docPr id="145" name="Frame1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Permits; obtain and renew all Environmental Permits necessary for its operations and properties; and conduct any investigation, study, sampling and testing, cleanup, removal, remedial or other action necessary to remove and clean up all Hazardous Materials from any of its properties, in accordance with all Environmental Laws;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neither any Borrower nor any of its Subsidiaries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w:t>
      </w:r>
    </w:p>
    <w:p>
      <w:pPr>
        <w:pStyle w:val="TextBody"/>
        <w:bidi w:val="0"/>
        <w:spacing w:lineRule="auto" w:line="240" w:before="0" w:after="240"/>
        <w:ind w:left="0" w:right="0" w:firstLine="720"/>
        <w:jc w:val="both"/>
        <w:rPr/>
      </w:pPr>
      <w:r>
        <w:rPr>
          <w:rFonts w:ascii="Times New Roman;serif" w:hAnsi="Times New Roman;serif"/>
          <w:b/>
          <w:color w:val="000000"/>
          <w:sz w:val="22"/>
        </w:rPr>
        <w:t>6.15</w:t>
      </w:r>
      <w:r>
        <w:rPr>
          <w:rFonts w:ascii="Times New Roman;serif" w:hAnsi="Times New Roman;serif"/>
          <w:b/>
          <w:color w:val="000000"/>
          <w:sz w:val="22"/>
          <w:u w:val="single"/>
        </w:rPr>
        <w:t>Anti-Corruption Laws; Anti-Money Laundering Laws; Sanctions</w:t>
      </w:r>
      <w:r>
        <w:rPr>
          <w:rFonts w:ascii="Times New Roman;serif" w:hAnsi="Times New Roman;serif"/>
          <w:b w:val="false"/>
          <w:color w:val="000000"/>
          <w:sz w:val="22"/>
        </w:rPr>
        <w:t>.</w:t>
      </w:r>
      <w:r>
        <w:rPr>
          <w:color w:val="00000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Conduct its business in compliance in all material respects with the United States Foreign Corrupt Practices Act of 1977, the UK Bribery Act 2010, the Corruption of Foreign Public Officials Act (Canada), the Criminal Code (Canada), and, to the extent applicable, the Proceeds of Crime (Money Laundering) and Terrorist Financing Act (Canada) and other applicable anti-corruption legislation or anti-money laundering legislation in other jurisdictions and with all applicable Sanctions, and maintain policies and procedures designed to promote and achieve compliance with such laws and Sanctions.</w:t>
      </w:r>
    </w:p>
    <w:p>
      <w:pPr>
        <w:pStyle w:val="TextBody"/>
        <w:bidi w:val="0"/>
        <w:spacing w:lineRule="auto" w:line="240" w:before="0" w:after="240"/>
        <w:ind w:left="0" w:right="0" w:firstLine="720"/>
        <w:jc w:val="both"/>
        <w:rPr/>
      </w:pPr>
      <w:r>
        <w:rPr>
          <w:rFonts w:ascii="Times New Roman;serif" w:hAnsi="Times New Roman;serif"/>
          <w:b/>
          <w:color w:val="000000"/>
          <w:sz w:val="22"/>
        </w:rPr>
        <w:t>6.16</w:t>
      </w:r>
      <w:r>
        <w:rPr>
          <w:rFonts w:ascii="Times New Roman;serif" w:hAnsi="Times New Roman;serif"/>
          <w:b/>
          <w:color w:val="000000"/>
          <w:sz w:val="22"/>
          <w:u w:val="single"/>
        </w:rPr>
        <w:t>Approvals and Authorizations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Maintain all material authorizations, consents, approvals and licenses from, exemptions of, and filings and registrations with, each Governmental Authority of the jurisdiction in which each Foreign Obligor is organized and existing, and all material approvals and consents of each other Person in such jurisdiction, in each case that are required in connection with the Loan Documents.</w:t>
      </w:r>
    </w:p>
    <w:p>
      <w:pPr>
        <w:pStyle w:val="TextBody"/>
        <w:bidi w:val="0"/>
        <w:spacing w:lineRule="auto" w:line="240" w:before="0" w:after="240"/>
        <w:ind w:left="0" w:right="0" w:firstLine="720"/>
        <w:jc w:val="both"/>
        <w:rPr/>
      </w:pPr>
      <w:r>
        <w:rPr>
          <w:rFonts w:ascii="Times New Roman;serif" w:hAnsi="Times New Roman;serif"/>
          <w:b/>
          <w:color w:val="000000"/>
          <w:sz w:val="22"/>
        </w:rPr>
        <w:t>6.17</w:t>
      </w:r>
      <w:r>
        <w:rPr>
          <w:rFonts w:ascii="Times New Roman;serif" w:hAnsi="Times New Roman;serif"/>
          <w:b/>
          <w:color w:val="000000"/>
          <w:sz w:val="22"/>
          <w:u w:val="single"/>
        </w:rPr>
        <w:t>Pari Passu Ranking</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Ensure that the payment obligations of the Loan Parties under the Loan Documents rank and continue to rank at least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with the claims of all of the Loan Parties’ other unsecured and unsubordinated creditors, except for obligations mandatorily preferred by law applying to companies generally.</w:t>
      </w:r>
    </w:p>
    <w:p>
      <w:pPr>
        <w:pStyle w:val="TextBody"/>
        <w:bidi w:val="0"/>
        <w:spacing w:lineRule="auto" w:line="240" w:before="0" w:after="240"/>
        <w:ind w:left="0" w:right="0" w:firstLine="720"/>
        <w:jc w:val="both"/>
        <w:rPr/>
      </w:pPr>
      <w:r>
        <w:rPr>
          <w:rFonts w:ascii="Times New Roman;serif" w:hAnsi="Times New Roman;serif"/>
          <w:b/>
          <w:color w:val="000000"/>
          <w:sz w:val="22"/>
        </w:rPr>
        <w:t>6.18</w:t>
      </w:r>
      <w:r>
        <w:rPr>
          <w:rFonts w:ascii="Times New Roman;serif" w:hAnsi="Times New Roman;serif"/>
          <w:b/>
          <w:color w:val="000000"/>
          <w:sz w:val="22"/>
          <w:u w:val="single"/>
        </w:rPr>
        <w:t>Cash Management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 respect to the Borrowers and any Material Domestic Subsidiary, maintain all primary cash management and treasury business with Bank of America or another Lender or any of their respective Affiliates, including, without limitation, all primary deposit accounts, disbursement accounts, investment accounts and lockbox accounts, subject to the terms of the Investment Policy.</w:t>
      </w:r>
    </w:p>
    <w:p>
      <w:pPr>
        <w:pStyle w:val="TextBody"/>
        <w:bidi w:val="0"/>
        <w:spacing w:lineRule="auto" w:line="240" w:before="0" w:after="240"/>
        <w:ind w:left="0" w:right="0" w:firstLine="720"/>
        <w:jc w:val="both"/>
        <w:rPr/>
      </w:pPr>
      <w:r>
        <w:rPr>
          <w:rFonts w:ascii="Times New Roman;serif" w:hAnsi="Times New Roman;serif"/>
          <w:b/>
          <w:color w:val="000000"/>
          <w:sz w:val="22"/>
        </w:rPr>
        <w:t>6.19</w:t>
      </w:r>
      <w:r>
        <w:rPr>
          <w:rFonts w:ascii="Times New Roman;serif" w:hAnsi="Times New Roman;serif"/>
          <w:b/>
          <w:color w:val="000000"/>
          <w:sz w:val="22"/>
          <w:u w:val="single"/>
        </w:rPr>
        <w:t>Further Assurances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Promptly upon reasonable request by the Administrative Agent, or any Lender 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(including promptly completing any registration or stamping of documents as may be applicable) as the Administrative Agent, or any Lender through the Administrative Agent, may reasonably require from time to time in order to (i) carry out more effectively the purposes of the Loan Documents and (ii) assure, convey, grant, assign, transfer, preserve, protect and confirm more effectively unto the Lender Parties the rights granted now or hereafter intended to be granted to the Lender Parties under any Loan Document or under any other instrument executed in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85445"/>
                <wp:effectExtent l="0" t="0" r="0" b="0"/>
                <wp:wrapNone/>
                <wp:docPr id="146" name="Frame1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connection with any Loan Document to which any Loan Party or any of its Subsidiaries is or is to be a party, and cause each of its Subsidiaries to do so.</w:t>
      </w:r>
    </w:p>
    <w:p>
      <w:pPr>
        <w:pStyle w:val="TextBody"/>
        <w:bidi w:val="0"/>
        <w:spacing w:lineRule="auto" w:line="240" w:before="0" w:after="240"/>
        <w:ind w:left="0" w:right="0" w:firstLine="720"/>
        <w:jc w:val="both"/>
        <w:rPr/>
      </w:pPr>
      <w:r>
        <w:rPr>
          <w:rFonts w:ascii="Times New Roman;serif" w:hAnsi="Times New Roman;serif"/>
          <w:b/>
          <w:color w:val="000000"/>
          <w:sz w:val="22"/>
        </w:rPr>
        <w:t>6.20</w:t>
      </w:r>
      <w:r>
        <w:rPr>
          <w:rFonts w:ascii="Times New Roman;serif" w:hAnsi="Times New Roman;serif"/>
          <w:b/>
          <w:color w:val="000000"/>
          <w:sz w:val="22"/>
          <w:u w:val="single"/>
        </w:rPr>
        <w:t>Distributions to the Company</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Cause Subsidiaries of the Company (other than CRA Security), to the extent permitted by Applicable Law, to distribute and dividend to the Company amounts as necessary from time to time to timely pay all Obligations hereunder and under the other Loan Documents as and when due. The Company shall cause CRA Security to liquidate and to distribute all or substantially all of its assets to the Company in the event that such assets and amounts are necessary to timely pay all Obligations hereunder and under the other Loan Documents as and when due.</w:t>
      </w:r>
    </w:p>
    <w:p>
      <w:pPr>
        <w:pStyle w:val="TextBody"/>
        <w:bidi w:val="0"/>
        <w:spacing w:lineRule="auto" w:line="240" w:before="0" w:after="240"/>
        <w:ind w:left="0" w:right="0" w:firstLine="720"/>
        <w:jc w:val="both"/>
        <w:rPr/>
      </w:pPr>
      <w:r>
        <w:rPr>
          <w:rFonts w:ascii="Times New Roman;serif" w:hAnsi="Times New Roman;serif"/>
          <w:b/>
          <w:color w:val="000000"/>
          <w:sz w:val="22"/>
        </w:rPr>
        <w:t>6.21</w:t>
      </w:r>
      <w:r>
        <w:rPr>
          <w:rFonts w:ascii="Times New Roman;serif" w:hAnsi="Times New Roman;serif"/>
          <w:b/>
          <w:color w:val="000000"/>
          <w:sz w:val="22"/>
          <w:u w:val="single"/>
        </w:rPr>
        <w:t>Outbound Investment Rules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Borrower will, nor will any Borrower permit any of its Subsidiaries to, (a) be or become a “covered foreign person”, as that term is defined in the Outbound Investment Rules, or (b) engage, directly or indirectly, in (i) a “covered transaction”, as such term is defined in the Outbound Investment Rules, (ii) any activity or transaction that would constitute a “covered transaction”, as such term is defined in the Outbound Investment Rules, if such Borrower were “U.S. Person” (as defined in 31 CFR § 850.229)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pStyle w:val="TextBody"/>
        <w:bidi w:val="0"/>
        <w:spacing w:lineRule="auto" w:line="240" w:before="0" w:after="240"/>
        <w:jc w:val="center"/>
        <w:rPr/>
      </w:pPr>
      <w:r>
        <w:rPr>
          <w:rFonts w:ascii="Times New Roman;serif" w:hAnsi="Times New Roman;serif"/>
          <w:b/>
          <w:color w:val="000000"/>
          <w:sz w:val="22"/>
        </w:rPr>
        <w:t>Article VII</w:t>
      </w:r>
      <w:r>
        <w:rPr>
          <w:rFonts w:ascii="Times New Roman;serif" w:hAnsi="Times New Roman;serif"/>
          <w:b/>
          <w:color w:val="000000"/>
          <w:sz w:val="22"/>
        </w:rPr>
        <w:br/>
        <w:br/>
        <w:t>NEGATIVE COVENANTS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of the Loan Parties hereby covenants and agrees that on the Closing Date and thereafter until the Facility Termination Date, no Loan Party shall, nor shall it permit any Subsidiary to, directly or indirectly:</w:t>
      </w:r>
    </w:p>
    <w:p>
      <w:pPr>
        <w:pStyle w:val="TextBody"/>
        <w:bidi w:val="0"/>
        <w:spacing w:lineRule="auto" w:line="240" w:before="0" w:after="240"/>
        <w:ind w:left="0" w:right="0" w:firstLine="720"/>
        <w:jc w:val="both"/>
        <w:rPr/>
      </w:pPr>
      <w:r>
        <w:rPr>
          <w:rFonts w:ascii="Times New Roman;serif" w:hAnsi="Times New Roman;serif"/>
          <w:b/>
          <w:color w:val="000000"/>
          <w:sz w:val="22"/>
        </w:rPr>
        <w:t>7.01</w:t>
      </w:r>
      <w:r>
        <w:rPr>
          <w:rFonts w:ascii="Times New Roman;serif" w:hAnsi="Times New Roman;serif"/>
          <w:b/>
          <w:color w:val="000000"/>
          <w:sz w:val="22"/>
          <w:u w:val="single"/>
        </w:rPr>
        <w:t>Liens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Create, incur, assume or suffer to exist any Lien upon any of its property, assets or revenues, whether now owned or hereafter acquired, except for the following (the “</w:t>
      </w:r>
      <w:r>
        <w:rPr>
          <w:rFonts w:ascii="Times New Roman;serif" w:hAnsi="Times New Roman;serif"/>
          <w:b w:val="false"/>
          <w:i/>
          <w:color w:val="000000"/>
          <w:sz w:val="22"/>
          <w:u w:val="single"/>
        </w:rPr>
        <w:t>Permitted Liens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(a)Liens pursuant to any Loan Document;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(b)Liens existing on the Closing Date and listed on </w:t>
      </w:r>
      <w:r>
        <w:rPr>
          <w:rFonts w:ascii="Times New Roman;serif" w:hAnsi="Times New Roman;serif"/>
          <w:b w:val="false"/>
          <w:color w:val="000000"/>
          <w:sz w:val="22"/>
          <w:u w:val="single"/>
        </w:rPr>
        <w:t>Schedule 7.01</w:t>
      </w:r>
      <w:r>
        <w:rPr>
          <w:color w:val="000000"/>
        </w:rPr>
        <w:t xml:space="preserve"> </w:t>
      </w:r>
      <w:r>
        <w:rPr>
          <w:rFonts w:ascii="Times New Roman;serif" w:hAnsi="Times New Roman;serif"/>
          <w:b w:val="false"/>
          <w:color w:val="000000"/>
          <w:sz w:val="22"/>
        </w:rPr>
        <w:t xml:space="preserve">and any renewals or extensions thereof,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 the scope of the property covered thereby is not changed, (ii) the amount secured or benefited thereby is not increased except as contemplated by </w:t>
      </w:r>
      <w:r>
        <w:rPr>
          <w:rFonts w:ascii="Times New Roman;serif" w:hAnsi="Times New Roman;serif"/>
          <w:b w:val="false"/>
          <w:color w:val="000000"/>
          <w:sz w:val="22"/>
          <w:u w:val="single"/>
        </w:rPr>
        <w:t>Section 7.02(b</w:t>
      </w:r>
      <w:r>
        <w:rPr>
          <w:rFonts w:ascii="Times New Roman;serif" w:hAnsi="Times New Roman;serif"/>
          <w:b w:val="false"/>
          <w:color w:val="000000"/>
          <w:sz w:val="22"/>
        </w:rPr>
        <w:t xml:space="preserve">), (iii) the direct or any contingent obligor with respect thereto is not changed, and (iv) any renewal or extension of the obligations secured or benefited thereby is permitted by </w:t>
      </w:r>
      <w:r>
        <w:rPr>
          <w:rFonts w:ascii="Times New Roman;serif" w:hAnsi="Times New Roman;serif"/>
          <w:b w:val="false"/>
          <w:color w:val="000000"/>
          <w:sz w:val="22"/>
          <w:u w:val="single"/>
        </w:rPr>
        <w:t>Section 7.02(b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(c)Liens for Taxes not overdue for more than 30 days and Liens for Taxes which are being contested in good faith and by appropriate proceedings diligently conducted, if adequate reserves with respect thereto are maintained on the books of the applicable Person in accordance with GAAP;</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(d)Statutory Liens such as carriers’, warehousemen’s, mechanics’, materialmen’s, repairmen’s, construction or other like Liens arising in the ordinary course of business which are not overdue for a period of more than thirty (30) days or which are being contested in good faith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85445"/>
                <wp:effectExtent l="0" t="0" r="0" b="0"/>
                <wp:wrapNone/>
                <wp:docPr id="147" name="Frame1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and by appropriate proceedings diligently conducted;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adequate reserves with respect thereto are maintained on the books of the applicable Person in accordance with GAAP;</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(e)(i) charges, pledges, deposits or undetermined and inchoate Liens arising or potentially arising in the ordinary course of business in connection with workers’ compensation, unemployment insurance, or other social security legislation, other than any Lien imposed by ERISA or any Lien imposed pursuant to federal or provincial pension standards legislation in Canada (except in respect of amounts that are payable but not yet due to be remitted), and (ii) deposits in the ordinary course of business securing liability for reimbursement or indemnification obligations of insurance carriers providing property, casualty or liability insurance to a Loan Party or any of its Subsidiaries;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(f)deposits to secure the performance of bids, trade contracts and leases (other than Indebtedness), statutory obligations, surety and appeal bonds, performance bonds and other obligations of a like nature incurred in the ordinary course of business;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(g)easements, rights-of-way, restrictions and other similar encumbrances affecting real property which, in the aggregate, are not substantial in amount, and which do not in any case materially interfere with the ordinary conduct of the business of the applicable Person;</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(h)Liens securing judgments for the payment of money (or appeal or other surety bonds relating to such judgments) not constituting an Event of Default under </w:t>
      </w:r>
      <w:r>
        <w:rPr>
          <w:rFonts w:ascii="Times New Roman;serif" w:hAnsi="Times New Roman;serif"/>
          <w:b w:val="false"/>
          <w:color w:val="000000"/>
          <w:sz w:val="22"/>
          <w:u w:val="single"/>
        </w:rPr>
        <w:t>Section 8.01(h)</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(i)Liens securing Indebtedness permitted under </w:t>
      </w:r>
      <w:r>
        <w:rPr>
          <w:rFonts w:ascii="Times New Roman;serif" w:hAnsi="Times New Roman;serif"/>
          <w:b w:val="false"/>
          <w:color w:val="000000"/>
          <w:sz w:val="22"/>
          <w:u w:val="single"/>
        </w:rPr>
        <w:t>Section 7.02(c</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 such Liens do not at any time encumber any property other than the property financed by such Indebtedness and (ii) the Indebtedness secured thereby does not exceed the cost of the property being acquired on the date of acquisition;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(j)bankers’ Liens, rights of setoff and other similar Liens existing solely with respect to cash and Cash Equivalents on deposit in one or more accounts maintained by any Borrower or any of its Subsidiaries, in each case in the ordinary course of business in favor of the bank or banks with which such accounts are maintained, securing solely the customary amounts owing to such bank with respect to cash management and operating account arrangements; </w:t>
      </w:r>
      <w:r>
        <w:rPr>
          <w:rFonts w:ascii="Times New Roman;serif" w:hAnsi="Times New Roman;serif"/>
          <w:b w:val="false"/>
          <w:i/>
          <w:color w:val="000000"/>
          <w:sz w:val="22"/>
        </w:rPr>
        <w:t>provided</w:t>
      </w:r>
      <w:r>
        <w:rPr>
          <w:rFonts w:ascii="Times New Roman;serif" w:hAnsi="Times New Roman;serif"/>
          <w:b w:val="false"/>
          <w:color w:val="000000"/>
          <w:sz w:val="22"/>
        </w:rPr>
        <w:t>, that in no case shall any such Liens secure (either directly or indirectly) the repayment of any Indebtedness for borrowed money;</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(k)Liens arising out of judgments or awards not resulting in an Event of Default;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the applicable Loan Party or Subsidiary shall in good faith be prosecuting an appeal or proceedings for review;</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(l)any interest or title of a lessor, licensor or sublessor or a lessee, licensee or sublessee, in each case under any lease, license or sublease entered into by any Loan Party or any Subsidiary thereof in the ordinary course of business and covering only the assets so leased, licensed or subleased;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(m)Liens (i) of a collection bank arising under Section 4–210 of the UCC on items in the course of collection, (ii) attaching to commodity trading accounts or other commodities brokerage accounts incurred in the ordinary course of business and not for speculative purposes and (iii) in favor of a banking or other financial institution arising as a matter of law encumbering deposits or other funds maintained with a financial institution (including the right of setoff) and that are within the general parameters customary in the banking industry;</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(n)Liens on property of a Person existing at the time such Person is merged into, consolidated or amalgamated with any Borrower or any Subsidiary of any Borrower or becomes a Subsidiary of any Borrower;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Liens were not created in contemplation of such merger, consolidation, amalgamation or Investment and do not extend to any assets other than those of the Person merged into or consolidated or amalgamated with any Borrower or such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85445"/>
                <wp:effectExtent l="0" t="0" r="0" b="0"/>
                <wp:wrapNone/>
                <wp:docPr id="148" name="Frame1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Subsidiary or acquired by any Borrower or such Subsidiary, and the applicable Indebtedness secured by such Lien is permitted under </w:t>
      </w:r>
      <w:r>
        <w:rPr>
          <w:rFonts w:ascii="Times New Roman;serif" w:hAnsi="Times New Roman;serif"/>
          <w:b w:val="false"/>
          <w:color w:val="000000"/>
          <w:sz w:val="22"/>
          <w:u w:val="single"/>
        </w:rPr>
        <w:t>Section 7.02(f</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(o)non-exclusive licenses or sublicenses of intellectual property rights granted by the Loan Parties or any Subsidiary of any Loan Party in the ordinary course of business, and the interests of licensors under licenses of intellectual property granted to any Loan Party or Subsidiary in the ordinary course of business;</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(p)other Liens securing Indebtedness and other obligations outstanding in an aggregate principal amount not to exceed the greater of (x) $15,000,000 and (y) 10.0% of Consolidated EBITDA of the Company and its Subsidiaries as of the last day of the most recently ended Measurement Period for which financial statements have been delivered pursuant to Section 6.01 (it being understood that any Lien incurred in reliance on clause (y) shall be permitted hereunder notwithstanding any subsequent decrease in Consolidated EBITDA);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(q)Any interest of title of a lessor under, and Liens arising in respect of leases permitted by this Agreement. </w:t>
      </w:r>
    </w:p>
    <w:p>
      <w:pPr>
        <w:pStyle w:val="TextBody"/>
        <w:bidi w:val="0"/>
        <w:spacing w:lineRule="auto" w:line="240" w:before="0" w:after="240"/>
        <w:ind w:left="0" w:right="0" w:firstLine="720"/>
        <w:jc w:val="both"/>
        <w:rPr/>
      </w:pPr>
      <w:r>
        <w:rPr>
          <w:rFonts w:ascii="Times New Roman;serif" w:hAnsi="Times New Roman;serif"/>
          <w:b/>
          <w:color w:val="000000"/>
          <w:sz w:val="22"/>
        </w:rPr>
        <w:t>7.02</w:t>
      </w:r>
      <w:r>
        <w:rPr>
          <w:rFonts w:ascii="Times New Roman;serif" w:hAnsi="Times New Roman;serif"/>
          <w:b/>
          <w:color w:val="000000"/>
          <w:sz w:val="22"/>
          <w:u w:val="single"/>
        </w:rPr>
        <w:t>Indebtedness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Create, incur, assume or suffer to exist any Indebtedness or issue any Disqualified Equity Interest, except: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(a)Indebtedness under the Loan Documents;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(b)Indebtedness outstanding on the date hereof and listed on </w:t>
      </w:r>
      <w:r>
        <w:rPr>
          <w:rFonts w:ascii="Times New Roman;serif" w:hAnsi="Times New Roman;serif"/>
          <w:b w:val="false"/>
          <w:color w:val="000000"/>
          <w:sz w:val="22"/>
          <w:u w:val="single"/>
        </w:rPr>
        <w:t>Schedule 7.02</w:t>
      </w:r>
      <w:r>
        <w:rPr>
          <w:color w:val="000000"/>
        </w:rPr>
        <w:t xml:space="preserve"> </w:t>
      </w:r>
      <w:r>
        <w:rPr>
          <w:rFonts w:ascii="Times New Roman;serif" w:hAnsi="Times New Roman;serif"/>
          <w:b w:val="false"/>
          <w:color w:val="000000"/>
          <w:sz w:val="22"/>
        </w:rPr>
        <w:t xml:space="preserve">and any refinancings, refundings, renewals or extensions thereof;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and the direct or any contingent obligor with respect thereto is not changed, as a result of or in connection with such refinancing, refunding, renewal or extension;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(c)Indebtedness in respect of Capitalized Leases, Synthetic Lease Obligations and purchase money obligations for fixed or capital assets within the limitations set forth in </w:t>
      </w:r>
      <w:r>
        <w:rPr>
          <w:rFonts w:ascii="Times New Roman;serif" w:hAnsi="Times New Roman;serif"/>
          <w:b w:val="false"/>
          <w:color w:val="000000"/>
          <w:sz w:val="22"/>
          <w:u w:val="single"/>
        </w:rPr>
        <w:t>Section 7.01(i)</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the aggregate amount of all such Indebtedness at any one time outstanding shall not exceed the greater of (x) $11,500,000 and (y) 7.5% of Consolidated EBITDA of the Company and its Subsidiaries as of the last day of the most recently ended Measurement Period for which financial statements have been delivered pursuant to </w:t>
      </w:r>
      <w:r>
        <w:rPr>
          <w:rFonts w:ascii="Times New Roman;serif" w:hAnsi="Times New Roman;serif"/>
          <w:b w:val="false"/>
          <w:color w:val="000000"/>
          <w:sz w:val="22"/>
          <w:u w:val="single"/>
        </w:rPr>
        <w:t xml:space="preserve">Section 6.01 </w:t>
      </w:r>
      <w:r>
        <w:rPr>
          <w:rFonts w:ascii="Times New Roman;serif" w:hAnsi="Times New Roman;serif"/>
          <w:b w:val="false"/>
          <w:color w:val="000000"/>
          <w:sz w:val="22"/>
        </w:rPr>
        <w:t>(it being understood that any Indebtedness incurred in reliance on clause (y) shall be permitted hereunder notwithstanding any subsequent decrease in Consolidated EBITDA);</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(d)[reserved];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(e)Guarantees of the Loan Parties and their Subsidiaries in respect of Indebtedness and other obligations otherwise permitted hereunder of the Loan Parties and their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(f)Indebtedness of any Person that becomes a Subsidiary of any Borrower after the date hereof in a transaction permitted hereunder, provided that the aggregate principal amount of all such Indebtedness in any transaction that is secured by a Lien on any property of any Loan Party or any Subsidiary shall not to exceed $2,500,000 at any time;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such Indebtedness is existing at the time such Person becomes a Subsidiary of any Borrower and was not incurred solely in contemplation of such Person’s becoming a Subsidiary of any Borrower;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(g)obligations (contingent or otherwise) existing or arising under any Swap Contract,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obligations are (or were) entered into by such Person in the ordinary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85445"/>
                <wp:effectExtent l="0" t="0" r="0" b="0"/>
                <wp:wrapNone/>
                <wp:docPr id="149" name="Frame1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course of business for the purpose of directly mitigating risks associated with fluctuations in interest rates or foreign exchange rates and not for speculative purposes;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(h)Indebtedness to current or former officers, directors, managers and employees, their respective estates, spouses or former spouses to finance the simultaneous purchase or redemption of Equity Interests of the Company permitted by </w:t>
      </w:r>
      <w:r>
        <w:rPr>
          <w:rFonts w:ascii="Times New Roman;serif" w:hAnsi="Times New Roman;serif"/>
          <w:b w:val="false"/>
          <w:color w:val="000000"/>
          <w:sz w:val="22"/>
          <w:u w:val="single"/>
        </w:rPr>
        <w:t>Section 7.06</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(i)to the extent any of the following constitute Indebtedness, deferred purchase price payment obligations, purchase price adjustments, contingent consideration payments, earn-outs and similar obligations in connection with Permitted Acquisitions or an acquisition made as an Investment permitted by </w:t>
      </w:r>
      <w:r>
        <w:rPr>
          <w:rFonts w:ascii="Times New Roman;serif" w:hAnsi="Times New Roman;serif"/>
          <w:b w:val="false"/>
          <w:color w:val="000000"/>
          <w:sz w:val="22"/>
          <w:u w:val="single"/>
        </w:rPr>
        <w:t>Section 7.03(k)</w:t>
      </w:r>
      <w:r>
        <w:rPr>
          <w:color w:val="000000"/>
        </w:rPr>
        <w:t> </w:t>
      </w:r>
      <w:r>
        <w:rPr>
          <w:rFonts w:ascii="Times New Roman;serif" w:hAnsi="Times New Roman;serif"/>
          <w:b w:val="false"/>
          <w:color w:val="000000"/>
          <w:sz w:val="22"/>
        </w:rPr>
        <w:t>and deferred payment obligations in connection with lateral hires of individual employees and consultants;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(j)Indebtedness in respect of surety bonds, performance bonds and other similar obligations incurred in the ordinary course of business of the Company and its Subsidiaries;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(k)Indebtedness constituting or reflecting Investments in the form of loans or advances to the extent permitted under </w:t>
      </w:r>
      <w:r>
        <w:rPr>
          <w:rFonts w:ascii="Times New Roman;serif" w:hAnsi="Times New Roman;serif"/>
          <w:b w:val="false"/>
          <w:color w:val="000000"/>
          <w:sz w:val="22"/>
          <w:u w:val="single"/>
        </w:rPr>
        <w:t>Section 7.03(c)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(k)</w:t>
      </w:r>
      <w:r>
        <w:rPr>
          <w:color w:val="000000"/>
        </w:rPr>
        <w:t xml:space="preserve"> </w:t>
      </w:r>
      <w:r>
        <w:rPr>
          <w:rFonts w:ascii="Times New Roman;serif" w:hAnsi="Times New Roman;serif"/>
          <w:b w:val="false"/>
          <w:color w:val="000000"/>
          <w:sz w:val="22"/>
        </w:rPr>
        <w:t xml:space="preserve">(provided that any such Indebtedness owed by a Loan Party to a Subsidiary that is not a Loan Party shall be subject to an intercompany subordination agreement referenced in </w:t>
      </w:r>
      <w:r>
        <w:rPr>
          <w:rFonts w:ascii="Times New Roman;serif" w:hAnsi="Times New Roman;serif"/>
          <w:b w:val="false"/>
          <w:color w:val="000000"/>
          <w:sz w:val="22"/>
          <w:u w:val="single"/>
        </w:rPr>
        <w:t>Section 7.03(c)</w:t>
      </w:r>
      <w:r>
        <w:rPr>
          <w:rFonts w:ascii="Times New Roman;serif" w:hAnsi="Times New Roman;serif"/>
          <w:b w:val="false"/>
          <w:color w:val="000000"/>
          <w:sz w:val="22"/>
        </w:rPr>
        <w:t>);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(l)Other unsecured Indebtedness or Indebtedness secured by Liens permitted under </w:t>
      </w:r>
      <w:r>
        <w:rPr>
          <w:rFonts w:ascii="Times New Roman;serif" w:hAnsi="Times New Roman;serif"/>
          <w:b w:val="false"/>
          <w:color w:val="000000"/>
          <w:sz w:val="22"/>
          <w:u w:val="single"/>
        </w:rPr>
        <w:t>Section 7.01(p)</w:t>
      </w:r>
      <w:r>
        <w:rPr>
          <w:rFonts w:ascii="Times New Roman;serif" w:hAnsi="Times New Roman;serif"/>
          <w:b w:val="false"/>
          <w:color w:val="000000"/>
          <w:sz w:val="22"/>
        </w:rPr>
        <w:t>, collectively in an aggregate principal amount not to exceed the greater of (x) $22,500,000 and (y) 15.0% of Consolidated EBITDA of the Company and its Subsidiaries as of the last day of the most recently ended Measurement Period for which financial statements have been delivered pursuant to Section 6.01 at any time outstanding (it being understood that any Indebtedness incurred in reliance on clause (y) shall be permitted hereunder notwithstanding any subsequent decrease in Consolidated EBITDA).</w:t>
      </w:r>
    </w:p>
    <w:p>
      <w:pPr>
        <w:pStyle w:val="TextBody"/>
        <w:bidi w:val="0"/>
        <w:spacing w:lineRule="auto" w:line="240" w:before="0" w:after="240"/>
        <w:ind w:left="0" w:right="0" w:firstLine="720"/>
        <w:jc w:val="both"/>
        <w:rPr/>
      </w:pPr>
      <w:r>
        <w:rPr>
          <w:rFonts w:ascii="Times New Roman;serif" w:hAnsi="Times New Roman;serif"/>
          <w:b/>
          <w:color w:val="000000"/>
          <w:sz w:val="22"/>
        </w:rPr>
        <w:t>7.03</w:t>
      </w:r>
      <w:r>
        <w:rPr>
          <w:rFonts w:ascii="Times New Roman;serif" w:hAnsi="Times New Roman;serif"/>
          <w:b/>
          <w:color w:val="000000"/>
          <w:sz w:val="22"/>
          <w:u w:val="single"/>
        </w:rPr>
        <w:t>Investments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Make or hold any Investments, except: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(a)Investments held by the Borrowers and their Subsidiaries in the form of cash or Cash Equivalents;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(b)advances or loans to current or prospective employees, experts or consultants of the Company for travel, entertainment, relocation and other bona fide, ordinary business purposes, including advances or loans to attract and retain such current or prospective employees, experts or consultants; provided that (i) no Default shall then exist or would exist after giving effect thereto and (ii) the Loan Parties shall be in Pro Forma Compliance with each of the financial covenants set forth in Section 7.11 after giving effect to any such advance or loan on a Pro Forma Basis;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(c)(i) Investments by the Company and its Subsidiaries in their respective Subsidiaries outstanding on the date hereof, (ii) additional Investments by any Loan Party or Domestic Subsidiary in any Loan Party or Domestic Subsidiary, (iii) additional Investments by any Foreign Subsidiary that is not a Loan Party in any Loan Party, any Domestic Subsidiary or any other Foreign Subsidiary, (iv) so long as no Default has occurred and is continuing or would reasonably be expected to result from such Investment at the time of the making thereof, additional Investments by any Loan Party or any Domestic Subsidiary in any Foreign Subsidiary, together with Dispositions made pursuant to clause (iii) of the definition of "Permitted Transfers", in an aggregate outstanding amount (giving effect to any repayments of any such Investment in the form of a loan or advance and any return of capital with respect to any such Investment in the form of a capital contribution) not exceeding at any time the greater of (x) $30,000,000 and (y) 20% of Consolidated EBITDA of the Company and its Subsidiaries as of the last day of the most recently ended Measurement Period for which financial statements have been delivered pursuant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85445"/>
                <wp:effectExtent l="0" t="0" r="0" b="0"/>
                <wp:wrapNone/>
                <wp:docPr id="150" name="Frame1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to Section 6.01 in the aggregate in any fiscal year of the Company (it being understood that any Investment made in reliance on clause (y) shall be permitted hereunder notwithstanding any subsequent decrease in Consolidated EBITDA);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in the case of any Investment in the form of a loan or advance to a Loan Party by a Subsidiary that is not a Loan Party, the applicable parties shall have executed and delivered to the Administrative Agent an intercompany subordination agreement in form and substance reasonably satisfactory to the Administrative Agent;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(d)Investments consisting of extensions of credit in the nature of accounts receivable in the ordinary course of business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(e)Guarantees permitted by </w:t>
      </w:r>
      <w:r>
        <w:rPr>
          <w:rFonts w:ascii="Times New Roman;serif" w:hAnsi="Times New Roman;serif"/>
          <w:b w:val="false"/>
          <w:color w:val="000000"/>
          <w:sz w:val="22"/>
          <w:u w:val="single"/>
        </w:rPr>
        <w:t>Section 7.02</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(f)Investments existing on the date hereof (other than those referred to in </w:t>
      </w:r>
      <w:r>
        <w:rPr>
          <w:rFonts w:ascii="Times New Roman;serif" w:hAnsi="Times New Roman;serif"/>
          <w:b w:val="false"/>
          <w:color w:val="000000"/>
          <w:sz w:val="22"/>
          <w:u w:val="single"/>
        </w:rPr>
        <w:t>Section 7.03(c)(i</w:t>
      </w:r>
      <w:r>
        <w:rPr>
          <w:rFonts w:ascii="Times New Roman;serif" w:hAnsi="Times New Roman;serif"/>
          <w:b w:val="false"/>
          <w:color w:val="000000"/>
          <w:sz w:val="22"/>
        </w:rPr>
        <w:t xml:space="preserve">)) and set forth on </w:t>
      </w:r>
      <w:r>
        <w:rPr>
          <w:rFonts w:ascii="Times New Roman;serif" w:hAnsi="Times New Roman;serif"/>
          <w:b w:val="false"/>
          <w:color w:val="000000"/>
          <w:sz w:val="22"/>
          <w:u w:val="single"/>
        </w:rPr>
        <w:t>Schedule 7.03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(g)Permitted Acquisitions and lateral hires of employees and consultants;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(h)Investments by the Company and its Subsidiaries in accordance with the Investment Policy;</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(i)Investments in the ordinary course of business consisting of Uniform Commercial Code Article 3 endorsements for collection or deposit and Article 4 customary trade arrangements with customers consistent with past practices;</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(j)[reserved];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(k)Guarantees (including deposits to secure and support the foregoing) by the Company or any of its Subsidiaries of leases (other than Capitalized Leases) or of other contractual obligations of the Company and its Subsidiaries that do not constitute Indebtedness, in each case entered into in the ordinary course of business;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(l)other Investments not contemplated by the above provisions not exceeding the greater of (x) $15,000,000 and (y) 10.0% of Consolidated EBITDA of the Company and its Subsidiaries as of the last day of the most recently ended Measurement Period for which financial statements have been delivered pursuant to Section 6.01 in the aggregate in any fiscal year of the Company (it being understood that any Investment made in reliance on clause (y) shall be permitted hereunder notwithstanding any subsequent decrease in Consolidated EBITDA);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(m)Investments in the form of Swap Contracts permitted by </w:t>
      </w:r>
      <w:r>
        <w:rPr>
          <w:rFonts w:ascii="Times New Roman;serif" w:hAnsi="Times New Roman;serif"/>
          <w:b w:val="false"/>
          <w:color w:val="000000"/>
          <w:sz w:val="22"/>
          <w:u w:val="single"/>
        </w:rPr>
        <w:t>Section 7.02;</w:t>
      </w:r>
      <w:r>
        <w:rPr>
          <w:color w:val="000000"/>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 such obligations are (or were) entered into by such Person in the ordinary course of business for the purpose of directly mitigating risks associated with fluctuations in interest rates or foreign exchange rates and not for speculative purposes and (ii) the aggregate amount of cash expended to obtain such Swap Contracts shall not exceed $15,000,000;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(n)Investments constituting promissory notes and other non-cash consideration received in connection with a Disposition permitted by </w:t>
      </w:r>
      <w:r>
        <w:rPr>
          <w:rFonts w:ascii="Times New Roman;serif" w:hAnsi="Times New Roman;serif"/>
          <w:b w:val="false"/>
          <w:color w:val="000000"/>
          <w:sz w:val="22"/>
          <w:u w:val="single"/>
        </w:rPr>
        <w:t>Section 7.05</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7.04</w:t>
      </w:r>
      <w:r>
        <w:rPr>
          <w:rFonts w:ascii="Times New Roman;serif" w:hAnsi="Times New Roman;serif"/>
          <w:b/>
          <w:color w:val="000000"/>
          <w:sz w:val="22"/>
          <w:u w:val="single"/>
        </w:rPr>
        <w:t>Fundamental Changes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Merge, dissolve, liquidate, consolidate or amalgamate with or into another Person, effectuate any division, or Dispose of (whether in one transaction or in a series of transactions) all or substantially all of its assets (whether now owned or hereafter acquired) to or in favor of any Person, except that, so long as no Default exists or would result therefrom:</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85445"/>
                <wp:effectExtent l="0" t="0" r="0" b="0"/>
                <wp:wrapNone/>
                <wp:docPr id="151" name="Frame1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(a)any Subsidiary may merge, consolidate or amalgamate with (i) the Company,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Company shall be the continuing or surviving Person, (ii) any Designated Borrower,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Designated Borrower shall be the continuing or surviving Person, or (iii) any one or more other Subsidiaries,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when any Loan Party is merging, consolidating or amalgamating with another Subsidiary, such Loan Party shall be the continuing or surviving Person;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(b)any Loan Party (other than the Company) may Dispose of all or substantially all of its assets (including any Disposition that is in the nature of a liquidation, whether voluntary or otherwise) to any Borrower or to another Loan Party;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(c)any Subsidiary that is not a Loan Party may dispose of all or substantially all its assets (including any Disposition that is in the nature of a liquidation, whether voluntary or otherwise) to (i) another Subsidiary that is not a Loan Party or (ii) to a Loan Party;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(d)so long as no Default has occurred and is continuing or would result therefrom, each of the Designated Borrowers and any of its Subsidiaries may merge into or consolidate or amalgamate with any other Person (other than the Company) or permit any other Person (other than the Company) to merge into or consolidate or amalgamate with it;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in each case, immediately after giving effect thereto (i) in the case of any such merger, consolidation or amalgamation to which any Designated Borrower is a party, such Designated Borrower is the surviving Person and (ii) in the case of any such merger, consolidation or amalgamation to which any Loan Party (other than such Designated Borrower) is a party, such Loan Party is the surviving Person;</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(e)Dispositions permitted by </w:t>
      </w:r>
      <w:r>
        <w:rPr>
          <w:rFonts w:ascii="Times New Roman;serif" w:hAnsi="Times New Roman;serif"/>
          <w:b w:val="false"/>
          <w:color w:val="000000"/>
          <w:sz w:val="22"/>
          <w:u w:val="single"/>
        </w:rPr>
        <w:t>Section 7.05 (other than Section 7.03(d))</w:t>
      </w:r>
      <w:r>
        <w:rPr>
          <w:rFonts w:ascii="Times New Roman;serif" w:hAnsi="Times New Roman;serif"/>
          <w:b w:val="false"/>
          <w:color w:val="000000"/>
          <w:sz w:val="22"/>
        </w:rPr>
        <w:t>;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(f)any Subsidiary that is not a Loan Party may liquidate or dissolve if the Borrowers determine in good faith that such liquidation or dissolution is in the best interests of the Borrowers and is not materially disadvantageous to the Lenders; provided that the assets of such dissolving or liquidating Subsidiary shall be transferred to a Loan Party or otherwise disposed of in a manner permitted by Section 7.05.</w:t>
      </w:r>
    </w:p>
    <w:p>
      <w:pPr>
        <w:pStyle w:val="TextBody"/>
        <w:bidi w:val="0"/>
        <w:spacing w:lineRule="auto" w:line="240" w:before="0" w:after="240"/>
        <w:ind w:left="0" w:right="0" w:firstLine="720"/>
        <w:jc w:val="both"/>
        <w:rPr/>
      </w:pPr>
      <w:r>
        <w:rPr>
          <w:rFonts w:ascii="Times New Roman;serif" w:hAnsi="Times New Roman;serif"/>
          <w:b/>
          <w:color w:val="000000"/>
          <w:sz w:val="22"/>
        </w:rPr>
        <w:t>7.05</w:t>
      </w:r>
      <w:r>
        <w:rPr>
          <w:rFonts w:ascii="Times New Roman;serif" w:hAnsi="Times New Roman;serif"/>
          <w:b/>
          <w:color w:val="000000"/>
          <w:sz w:val="22"/>
          <w:u w:val="single"/>
        </w:rPr>
        <w:t>Dispositions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Make any Disposition or enter into any agreement to make any Disposition, except: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(a)Permitted Transfers;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(b)Dispositions of property that is obsolete, worn out, surplus or no longer used or useful in the business of the Company and its Subsidiaries, whether now owned or hereafter acquired, in the ordinary course of business;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(d)Dispositions permitted by </w:t>
      </w:r>
      <w:r>
        <w:rPr>
          <w:rFonts w:ascii="Times New Roman;serif" w:hAnsi="Times New Roman;serif"/>
          <w:b w:val="false"/>
          <w:color w:val="000000"/>
          <w:sz w:val="22"/>
          <w:u w:val="single"/>
        </w:rPr>
        <w:t>Sections 7.03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7.04</w:t>
      </w:r>
      <w:r>
        <w:rPr>
          <w:color w:val="000000"/>
        </w:rPr>
        <w:t xml:space="preserve"> </w:t>
      </w:r>
      <w:r>
        <w:rPr>
          <w:rFonts w:ascii="Times New Roman;serif" w:hAnsi="Times New Roman;serif"/>
          <w:b w:val="false"/>
          <w:color w:val="000000"/>
          <w:sz w:val="22"/>
        </w:rPr>
        <w:t>and</w:t>
      </w:r>
      <w:r>
        <w:rPr>
          <w:color w:val="000000"/>
          <w:u w:val="single"/>
        </w:rPr>
        <w:t xml:space="preserve"> </w:t>
      </w:r>
      <w:r>
        <w:rPr>
          <w:rFonts w:ascii="Times New Roman;serif" w:hAnsi="Times New Roman;serif"/>
          <w:b w:val="false"/>
          <w:color w:val="000000"/>
          <w:sz w:val="22"/>
          <w:u w:val="single"/>
        </w:rPr>
        <w:t>7.06</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(e)the unwinding of any Swap Contract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color w:val="000000"/>
        </w:rPr>
        <w:t xml:space="preserve"> </w:t>
      </w:r>
      <w:r>
        <w:rPr>
          <w:rFonts w:ascii="Times New Roman;serif" w:hAnsi="Times New Roman;serif"/>
          <w:b w:val="false"/>
          <w:color w:val="000000"/>
          <w:sz w:val="22"/>
        </w:rPr>
        <w:t xml:space="preserve">non-exclusive licenses of trademarks, service marks, trade names, copyrights, patents, patent rights, trade secrets, know-how, franchises, licenses, designs and other intellectual property rights in the ordinary course of business, which do not materially interfere with the business of the Company and its Subsidiaries and substantially consistent with past practice for terms not exceeding five years;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85445"/>
                <wp:effectExtent l="0" t="0" r="0" b="0"/>
                <wp:wrapNone/>
                <wp:docPr id="152" name="Frame1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(g)the forgiveness, discounting and amortization of advances and loans to employee, experts and consultants in the ordinary course of business;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(h)provided no Event of Default has occurred and is continuing, other Dispositions so long as the aggregate net book value of all of the assets sold or otherwise disposed of by the Loan Parties and their Subsidiaries in all such transactions occurring after the Closing Date shall not exceed the greater of (x) $10,000,000 and (y) 10.0% of Consolidated EBITDA of the Company and its Subsidiaries as of the last day of the most recently ended Measurement Period for which financial statements have been delivered pursuant to Section 6.01 in the aggregate in any fiscal year of the Company (it being understood that any Disposition made in reliance on clause (y) shall be permitted hereunder notwithstanding any subsequent decrease in Consolidated EBITDA).</w:t>
      </w:r>
    </w:p>
    <w:p>
      <w:pPr>
        <w:pStyle w:val="TextBody"/>
        <w:bidi w:val="0"/>
        <w:spacing w:lineRule="auto" w:line="240" w:before="0" w:after="240"/>
        <w:ind w:left="0" w:right="0" w:firstLine="720"/>
        <w:jc w:val="both"/>
        <w:rPr/>
      </w:pPr>
      <w:r>
        <w:rPr>
          <w:rFonts w:ascii="Times New Roman;serif" w:hAnsi="Times New Roman;serif"/>
          <w:b/>
          <w:color w:val="000000"/>
          <w:sz w:val="22"/>
        </w:rPr>
        <w:t>7.06</w:t>
      </w:r>
      <w:r>
        <w:rPr>
          <w:rFonts w:ascii="Times New Roman;serif" w:hAnsi="Times New Roman;serif"/>
          <w:b/>
          <w:color w:val="000000"/>
          <w:sz w:val="22"/>
          <w:u w:val="single"/>
        </w:rPr>
        <w:t>Restricted Payments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Declare or make, directly or indirectly, any Restricted Payment, or incur any obligation (contingent or otherwise) to do so, or issue or sell any Equity Interests or accept any capital contributions, except that: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(a)each Subsidiary may make Restricted Payments to any Person that owns Equity Interests in such Subsidiary, ratably according to their respective holdings of the type of Equity Interest in respect of which such Restricted Payment is being made;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(b)the Company and each Subsidiary may declare and make dividend payments or other distributions payable solely in Equity Interests (other than Disqualified Equity Interests) of such Person;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(c)the Company may pay for the repurchase, retirement or other acquisition or retirement for value of Equity Interests of the Company held by any future, present or former officer, employee, manager or consultant (or any spouses, former spouses, successors, executors, administrators, heirs, legatees or distributees of any of the foregoing) of the Company or any of its Subsidiaries upon the death, disability, retirement or termination of employment of any such Person or otherwise pursuant to any employee, manager or consultant equity plan, employee or manager stock option plan or any other employee, director or consultant benefit plan or any agreement with any officer, employee, manager or consultant of the Company or any of its Subsidiaries;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(d)so long as no Default shall have occurred and be continuing at the time of any action described below or would result therefrom on a Pro Forma Basis and after giving effect thereto, and the Loan Parties are in Pro Forma Compliance with each of the financial covenants set forth in </w:t>
      </w:r>
      <w:r>
        <w:rPr>
          <w:rFonts w:ascii="Times New Roman;serif" w:hAnsi="Times New Roman;serif"/>
          <w:b w:val="false"/>
          <w:color w:val="000000"/>
          <w:sz w:val="22"/>
          <w:u w:val="single"/>
        </w:rPr>
        <w:t>Section 7.11</w:t>
      </w:r>
      <w:r>
        <w:rPr>
          <w:rFonts w:ascii="Times New Roman;serif" w:hAnsi="Times New Roman;serif"/>
          <w:b w:val="false"/>
          <w:color w:val="000000"/>
          <w:sz w:val="22"/>
        </w:rPr>
        <w:t>, the Company may pay cash dividends and distributions on account of its Equity Interests (other than Disqualified Equity Interests) and may repurchase shares of its cash Equity Interests (other than Disqualified Equity Interests).</w:t>
      </w:r>
    </w:p>
    <w:p>
      <w:pPr>
        <w:pStyle w:val="TextBody"/>
        <w:bidi w:val="0"/>
        <w:spacing w:lineRule="auto" w:line="240" w:before="0" w:after="240"/>
        <w:ind w:left="0" w:right="0" w:firstLine="720"/>
        <w:jc w:val="both"/>
        <w:rPr/>
      </w:pPr>
      <w:r>
        <w:rPr>
          <w:rFonts w:ascii="Times New Roman;serif" w:hAnsi="Times New Roman;serif"/>
          <w:b/>
          <w:color w:val="000000"/>
          <w:sz w:val="22"/>
        </w:rPr>
        <w:t>7.07</w:t>
      </w:r>
      <w:r>
        <w:rPr>
          <w:rFonts w:ascii="Times New Roman;serif" w:hAnsi="Times New Roman;serif"/>
          <w:b/>
          <w:color w:val="000000"/>
          <w:sz w:val="22"/>
          <w:u w:val="single"/>
        </w:rPr>
        <w:t>Change in Nature of Business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Engage in any material line of business substantially different from those lines of business conducted by the Company and its Subsidiaries on the date hereof or any business substantially related or incidental thereto.</w:t>
      </w:r>
    </w:p>
    <w:p>
      <w:pPr>
        <w:pStyle w:val="TextBody"/>
        <w:bidi w:val="0"/>
        <w:spacing w:lineRule="auto" w:line="240" w:before="0" w:after="240"/>
        <w:ind w:left="0" w:right="0" w:firstLine="720"/>
        <w:jc w:val="both"/>
        <w:rPr/>
      </w:pPr>
      <w:r>
        <w:rPr>
          <w:rFonts w:ascii="Times New Roman;serif" w:hAnsi="Times New Roman;serif"/>
          <w:b/>
          <w:color w:val="000000"/>
          <w:sz w:val="22"/>
        </w:rPr>
        <w:t>7.08</w:t>
      </w:r>
      <w:r>
        <w:rPr>
          <w:rFonts w:ascii="Times New Roman;serif" w:hAnsi="Times New Roman;serif"/>
          <w:b/>
          <w:color w:val="000000"/>
          <w:sz w:val="22"/>
          <w:u w:val="single"/>
        </w:rPr>
        <w:t>Transactions with Affiliates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Enter into or permit to exist any transaction or series of transactions with any Affiliate of such Person other than (a) transactions which are entered into in the ordinary course of such Person’s business on fair and reasonable terms and conditions substantially as favorable to such Person as would be obtainable by it in a comparable arm’s length transaction with a Person other than an Affiliate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85445"/>
                <wp:effectExtent l="0" t="0" r="0" b="0"/>
                <wp:wrapNone/>
                <wp:docPr id="153" name="Frame1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(b) transactions between or among any of the Company and its Subsidiaries not prohibited by this Agreement; (c) Restricted Payments permitted under </w:t>
      </w:r>
      <w:r>
        <w:rPr>
          <w:rFonts w:ascii="Times New Roman;serif" w:hAnsi="Times New Roman;serif"/>
          <w:b w:val="false"/>
          <w:color w:val="000000"/>
          <w:sz w:val="22"/>
          <w:u w:val="single"/>
        </w:rPr>
        <w:t>Section 7.06</w:t>
      </w:r>
      <w:r>
        <w:rPr>
          <w:rFonts w:ascii="Times New Roman;serif" w:hAnsi="Times New Roman;serif"/>
          <w:b w:val="false"/>
          <w:color w:val="000000"/>
          <w:sz w:val="22"/>
        </w:rPr>
        <w:t xml:space="preserve">; and (d) Investments constituting loans to individual employees and consultants permitted under </w:t>
      </w:r>
      <w:r>
        <w:rPr>
          <w:rFonts w:ascii="Times New Roman;serif" w:hAnsi="Times New Roman;serif"/>
          <w:b w:val="false"/>
          <w:color w:val="000000"/>
          <w:sz w:val="22"/>
          <w:u w:val="single"/>
        </w:rPr>
        <w:t>Section 7.03(b)</w:t>
      </w:r>
      <w:r>
        <w:rPr>
          <w:color w:val="000000"/>
        </w:rPr>
        <w:t> </w:t>
      </w:r>
      <w:r>
        <w:rPr>
          <w:rFonts w:ascii="Times New Roman;serif" w:hAnsi="Times New Roman;serif"/>
          <w:b w:val="false"/>
          <w:color w:val="000000"/>
          <w:sz w:val="22"/>
        </w:rPr>
        <w:t xml:space="preserve">and the forgiveness of any such loans. </w:t>
      </w:r>
    </w:p>
    <w:p>
      <w:pPr>
        <w:pStyle w:val="TextBody"/>
        <w:bidi w:val="0"/>
        <w:spacing w:lineRule="auto" w:line="240" w:before="0" w:after="240"/>
        <w:ind w:left="0" w:right="0" w:firstLine="720"/>
        <w:jc w:val="both"/>
        <w:rPr/>
      </w:pPr>
      <w:r>
        <w:rPr>
          <w:rFonts w:ascii="Times New Roman;serif" w:hAnsi="Times New Roman;serif"/>
          <w:b/>
          <w:color w:val="000000"/>
          <w:sz w:val="22"/>
        </w:rPr>
        <w:t>7.09</w:t>
      </w:r>
      <w:r>
        <w:rPr>
          <w:rFonts w:ascii="Times New Roman;serif" w:hAnsi="Times New Roman;serif"/>
          <w:b/>
          <w:color w:val="000000"/>
          <w:sz w:val="22"/>
          <w:u w:val="single"/>
        </w:rPr>
        <w:t>Burdensome Agreements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Enter into, or permit to exist, any Contractual Obligation (except for this Agreement and the other Loan Documents) that  encumbers or restricts the ability of any such Person to (i) act as a Loan Party; (ii) make Restricted Payments to any Loan Party, (iii) pay any Indebtedness or other obligation owed to any Loan Party, (iv) make loans or advances to any Loan Party, or</w:t>
      </w:r>
      <w:r>
        <w:rPr>
          <w:color w:val="000000"/>
        </w:rPr>
        <w:t xml:space="preserve"> </w:t>
      </w:r>
      <w:r>
        <w:rPr>
          <w:rFonts w:ascii="Times New Roman;serif" w:hAnsi="Times New Roman;serif"/>
          <w:b w:val="false"/>
          <w:color w:val="000000"/>
          <w:sz w:val="22"/>
        </w:rPr>
        <w:t xml:space="preserve">(v) create any Lien upon any of their properties or assets, whether now owned or hereafter acquired, except for, in the case of </w:t>
      </w:r>
      <w:r>
        <w:rPr>
          <w:rFonts w:ascii="Times New Roman;serif" w:hAnsi="Times New Roman;serif"/>
          <w:b w:val="false"/>
          <w:color w:val="000000"/>
          <w:sz w:val="22"/>
          <w:u w:val="single"/>
        </w:rPr>
        <w:t>clause (v)</w:t>
      </w:r>
      <w:r>
        <w:rPr>
          <w:color w:val="000000"/>
        </w:rPr>
        <w:t xml:space="preserve"> </w:t>
      </w:r>
      <w:r>
        <w:rPr>
          <w:rFonts w:ascii="Times New Roman;serif" w:hAnsi="Times New Roman;serif"/>
          <w:b w:val="false"/>
          <w:color w:val="000000"/>
          <w:sz w:val="22"/>
        </w:rPr>
        <w:t xml:space="preserve">only, (i) any document or instrument governing Indebtedness incurred pursuant to </w:t>
      </w:r>
      <w:r>
        <w:rPr>
          <w:rFonts w:ascii="Times New Roman;serif" w:hAnsi="Times New Roman;serif"/>
          <w:b w:val="false"/>
          <w:color w:val="000000"/>
          <w:sz w:val="22"/>
          <w:u w:val="single"/>
        </w:rPr>
        <w:t>Section 7.02(c</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(f)</w:t>
      </w:r>
      <w:r>
        <w:rPr>
          <w:rFonts w:ascii="Times New Roman;serif" w:hAnsi="Times New Roman;serif"/>
          <w:b w:val="false"/>
          <w:color w:val="000000"/>
          <w:sz w:val="22"/>
        </w:rPr>
        <w:t>,</w:t>
      </w:r>
      <w:r>
        <w:rPr>
          <w:color w:val="000000"/>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any such restriction contained therein relates only to the asset or assets financed thereby or constructed or acquired in connection therewith, (ii) customary restrictions on or contained in leases, subleases, licenses or asset sale agreements otherwise permitted hereby so long as such restrictions relate to the assets subject thereto, (iii) restrictions and conditions imposed by law or by any Loan Document, (iv) customary restrictions and conditions contained in agreements relating to the sale of a Subsidiary permitted under Section 7.05 pending such sale; provided that such restrictions and conditions apply only to the Subsidiary that is to be sold, and (v) customary restrictions on cash or other deposits (including escrowed funds) or net worth imposed by customers under contracts in the ordinary course of business; provided that such restrictions and conditions apply only to such Subsidiary and to any Equity Interests in such Subsidiary.</w:t>
      </w:r>
    </w:p>
    <w:p>
      <w:pPr>
        <w:pStyle w:val="TextBody"/>
        <w:bidi w:val="0"/>
        <w:spacing w:lineRule="auto" w:line="240" w:before="0" w:after="240"/>
        <w:ind w:left="0" w:right="0" w:firstLine="720"/>
        <w:jc w:val="both"/>
        <w:rPr/>
      </w:pPr>
      <w:r>
        <w:rPr>
          <w:rFonts w:ascii="Times New Roman;serif" w:hAnsi="Times New Roman;serif"/>
          <w:b/>
          <w:color w:val="000000"/>
          <w:sz w:val="22"/>
        </w:rPr>
        <w:t>7.10</w:t>
      </w:r>
      <w:r>
        <w:rPr>
          <w:rFonts w:ascii="Times New Roman;serif" w:hAnsi="Times New Roman;serif"/>
          <w:b/>
          <w:color w:val="000000"/>
          <w:sz w:val="22"/>
          <w:u w:val="single"/>
        </w:rPr>
        <w:t>Use of Proceeds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Use the proceeds of any Credit Extension, whether directly or indirectly, and whether immediately, incidentally or ultimately, to purchase or carry margin stock (within the meaning of Regulation U) in a manner that would result in a violation of Regulation U or to extend credit to others for the purpose of purchasing or carrying margin stock or to refund indebtedness originally incurred for such purpose</w:t>
      </w:r>
    </w:p>
    <w:p>
      <w:pPr>
        <w:pStyle w:val="TextBody"/>
        <w:bidi w:val="0"/>
        <w:spacing w:lineRule="auto" w:line="240" w:before="0" w:after="240"/>
        <w:ind w:left="0" w:right="0" w:firstLine="720"/>
        <w:jc w:val="both"/>
        <w:rPr/>
      </w:pPr>
      <w:r>
        <w:rPr>
          <w:rFonts w:ascii="Times New Roman;serif" w:hAnsi="Times New Roman;serif"/>
          <w:b/>
          <w:color w:val="000000"/>
          <w:sz w:val="22"/>
        </w:rPr>
        <w:t>7.11</w:t>
      </w:r>
      <w:r>
        <w:rPr>
          <w:rFonts w:ascii="Times New Roman;serif" w:hAnsi="Times New Roman;serif"/>
          <w:b/>
          <w:color w:val="000000"/>
          <w:sz w:val="22"/>
          <w:u w:val="single"/>
        </w:rPr>
        <w:t>Financial Covenants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Consolidated Interest Coverage Ratio</w:t>
      </w:r>
      <w:r>
        <w:rPr>
          <w:rFonts w:ascii="Times New Roman;serif" w:hAnsi="Times New Roman;serif"/>
          <w:b w:val="false"/>
          <w:color w:val="000000"/>
          <w:sz w:val="22"/>
        </w:rPr>
        <w:t>. Permit the Consolidated Interest Coverage Ratio as of the end of any Measurement Period ending as of the end of any fiscal quarter of the Company to be less than the ratio of 2.50 to 1.00.</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Consolidated Net Leverage Ratio</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Permit the Consolidated Net Leverage Ratio at any time during any period to be greater than the ratio of 3.00 to 1.00;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in the event of a Permitted Acquisition involving aggregate Consideration in excess of $25,000,000 occurring during a fiscal quarter, then the Company shall have the right to increase the maximum permitted Consolidated Net Leverage Ratio required to be maintained under this </w:t>
      </w:r>
      <w:r>
        <w:rPr>
          <w:rFonts w:ascii="Times New Roman;serif" w:hAnsi="Times New Roman;serif"/>
          <w:b w:val="false"/>
          <w:color w:val="000000"/>
          <w:sz w:val="22"/>
          <w:u w:val="single"/>
        </w:rPr>
        <w:t>Section 7.11(b)</w:t>
      </w:r>
      <w:r>
        <w:rPr>
          <w:color w:val="000000"/>
        </w:rPr>
        <w:t xml:space="preserve"> </w:t>
      </w:r>
      <w:r>
        <w:rPr>
          <w:rFonts w:ascii="Times New Roman;serif" w:hAnsi="Times New Roman;serif"/>
          <w:b w:val="false"/>
          <w:color w:val="000000"/>
          <w:sz w:val="22"/>
        </w:rPr>
        <w:t>to 3.50 to 1.00 for the fiscal quarter in which such Permitted Acquisition is consummated (the “</w:t>
      </w:r>
      <w:r>
        <w:rPr>
          <w:rFonts w:ascii="Times New Roman;serif" w:hAnsi="Times New Roman;serif"/>
          <w:b w:val="false"/>
          <w:color w:val="000000"/>
          <w:sz w:val="22"/>
          <w:u w:val="single"/>
        </w:rPr>
        <w:t>Trigger Quarter</w:t>
      </w:r>
      <w:r>
        <w:rPr>
          <w:color w:val="000000"/>
        </w:rPr>
        <w:t>”</w:t>
      </w:r>
      <w:r>
        <w:rPr>
          <w:rFonts w:ascii="Times New Roman;serif" w:hAnsi="Times New Roman;serif"/>
          <w:b w:val="false"/>
          <w:color w:val="000000"/>
          <w:sz w:val="22"/>
        </w:rPr>
        <w:t>) and each of the three fiscal quarters immediately following the Trigger Quarter (such period, an “</w:t>
      </w:r>
      <w:r>
        <w:rPr>
          <w:rFonts w:ascii="Times New Roman;serif" w:hAnsi="Times New Roman;serif"/>
          <w:b w:val="false"/>
          <w:color w:val="000000"/>
          <w:sz w:val="22"/>
          <w:u w:val="single"/>
        </w:rPr>
        <w:t>Elevated Leverage Ratio Period</w:t>
      </w:r>
      <w:r>
        <w:rPr>
          <w:color w:val="000000"/>
        </w:rPr>
        <w:t>”</w:t>
      </w:r>
      <w:r>
        <w:rPr>
          <w:rFonts w:ascii="Times New Roman;serif" w:hAnsi="Times New Roman;serif"/>
          <w:b w:val="false"/>
          <w:color w:val="000000"/>
          <w:sz w:val="22"/>
        </w:rPr>
        <w:t xml:space="preserve">), and the maximum permitted Consolidated Net Leverage Ratio will thereafter revert to 3.00 to 1.00;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there shall be no more than three Elevated Leverage Ratio Periods during the term of this Agreement; </w:t>
      </w:r>
      <w:r>
        <w:rPr>
          <w:rFonts w:ascii="Times New Roman;serif" w:hAnsi="Times New Roman;serif"/>
          <w:b w:val="false"/>
          <w:i/>
          <w:color w:val="000000"/>
          <w:sz w:val="22"/>
        </w:rPr>
        <w:t>provided further</w:t>
      </w:r>
      <w:r>
        <w:rPr>
          <w:color w:val="000000"/>
        </w:rPr>
        <w:t xml:space="preserve"> </w:t>
      </w:r>
      <w:r>
        <w:rPr>
          <w:rFonts w:ascii="Times New Roman;serif" w:hAnsi="Times New Roman;serif"/>
          <w:b w:val="false"/>
          <w:color w:val="000000"/>
          <w:sz w:val="22"/>
        </w:rPr>
        <w:t xml:space="preserve">that an Elevated Leverage Ratio Period may not be elected by the Company unless there is at least one fiscal quarter end after the end of the prior Elevated Leverage Ratio Period at which the required Consolidated Net Leverage Ratio is less than or equal to 3.00 to 1.00. Such election shall be made by the delivery of a written notice by the Company to the Administrative Agent making reference to this </w:t>
      </w:r>
      <w:r>
        <w:rPr>
          <w:rFonts w:ascii="Times New Roman;serif" w:hAnsi="Times New Roman;serif"/>
          <w:b w:val="false"/>
          <w:color w:val="000000"/>
          <w:sz w:val="22"/>
          <w:u w:val="single"/>
        </w:rPr>
        <w:t>Section 7.11(b)</w:t>
      </w:r>
      <w:r>
        <w:rPr>
          <w:color w:val="000000"/>
        </w:rPr>
        <w:t xml:space="preserve"> </w:t>
      </w:r>
      <w:r>
        <w:rPr>
          <w:rFonts w:ascii="Times New Roman;serif" w:hAnsi="Times New Roman;serif"/>
          <w:b w:val="false"/>
          <w:color w:val="000000"/>
          <w:sz w:val="22"/>
        </w:rPr>
        <w:t xml:space="preserve">and notifying the Administrative Agent of the Company’s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85445"/>
                <wp:effectExtent l="0" t="0" r="0" b="0"/>
                <wp:wrapNone/>
                <wp:docPr id="154" name="Frame1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exercise of this right on or prior to the date of the actual or required delivery of a Compliance Certificate for the Trigger Quarter. </w:t>
      </w:r>
    </w:p>
    <w:p>
      <w:pPr>
        <w:pStyle w:val="TextBody"/>
        <w:bidi w:val="0"/>
        <w:spacing w:lineRule="auto" w:line="240" w:before="0" w:after="240"/>
        <w:ind w:left="0" w:right="0" w:firstLine="720"/>
        <w:jc w:val="both"/>
        <w:rPr/>
      </w:pPr>
      <w:r>
        <w:rPr>
          <w:rFonts w:ascii="Times New Roman;serif" w:hAnsi="Times New Roman;serif"/>
          <w:b/>
          <w:color w:val="000000"/>
          <w:sz w:val="22"/>
        </w:rPr>
        <w:t>7.12</w:t>
      </w:r>
      <w:r>
        <w:rPr>
          <w:rFonts w:ascii="Times New Roman;serif" w:hAnsi="Times New Roman;serif"/>
          <w:b/>
          <w:color w:val="000000"/>
          <w:sz w:val="22"/>
          <w:u w:val="single"/>
        </w:rPr>
        <w:t>Amendments of Organization Documents; Fiscal Year; Legal Name, Jurisdiction of Formation; Form of Entity and Accounting Changes</w:t>
      </w:r>
      <w:r>
        <w:rPr>
          <w:rFonts w:ascii="Times New Roman;serif" w:hAnsi="Times New Roman;serif"/>
          <w:b w:val="false"/>
          <w:color w:val="000000"/>
          <w:sz w:val="22"/>
        </w:rPr>
        <w:t>.</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(a)Terminate, amend, modify or change any of its Organization Documents other than any such amendments, modifications or changes which are not, and could not reasonably be expected to be, adverse in any material respect to the interests of the Administrative Agent or any Lender;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(b)change its fiscal year;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(c)without providing ten (10) days prior written notice to the Administrative Agent (or such extended period of time as agreed to by the Administrative Agent), change the name, jurisdiction of formation, or form of organization of any Loan Party;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(d)make any change in accounting policies or reporting practices, except as required or permitted by GAAP.</w:t>
      </w:r>
    </w:p>
    <w:p>
      <w:pPr>
        <w:pStyle w:val="TextBody"/>
        <w:bidi w:val="0"/>
        <w:spacing w:lineRule="auto" w:line="240" w:before="0" w:after="240"/>
        <w:ind w:left="0" w:right="0" w:firstLine="720"/>
        <w:jc w:val="both"/>
        <w:rPr/>
      </w:pPr>
      <w:r>
        <w:rPr>
          <w:rFonts w:ascii="Times New Roman;serif" w:hAnsi="Times New Roman;serif"/>
          <w:b/>
          <w:color w:val="000000"/>
          <w:sz w:val="22"/>
        </w:rPr>
        <w:t>7.13</w:t>
      </w:r>
      <w:r>
        <w:rPr>
          <w:rFonts w:ascii="Times New Roman;serif" w:hAnsi="Times New Roman;serif"/>
          <w:b/>
          <w:color w:val="000000"/>
          <w:sz w:val="22"/>
          <w:u w:val="single"/>
        </w:rPr>
        <w:t>Sale and Leaseback Transactions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Enter into any Sale and Leaseback Transaction.</w:t>
      </w:r>
    </w:p>
    <w:p>
      <w:pPr>
        <w:pStyle w:val="TextBody"/>
        <w:bidi w:val="0"/>
        <w:spacing w:lineRule="auto" w:line="240" w:before="0" w:after="240"/>
        <w:ind w:left="0" w:right="0" w:firstLine="720"/>
        <w:jc w:val="both"/>
        <w:rPr/>
      </w:pPr>
      <w:r>
        <w:rPr>
          <w:rFonts w:ascii="Times New Roman;serif" w:hAnsi="Times New Roman;serif"/>
          <w:b/>
          <w:color w:val="000000"/>
          <w:sz w:val="22"/>
        </w:rPr>
        <w:t>7.14</w:t>
      </w:r>
      <w:r>
        <w:rPr>
          <w:rFonts w:ascii="Times New Roman;serif" w:hAnsi="Times New Roman;serif"/>
          <w:b/>
          <w:color w:val="000000"/>
          <w:sz w:val="22"/>
          <w:u w:val="single"/>
        </w:rPr>
        <w:t>Sanctions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Directly or indirectly, use any Credit Extension or the proceeds of any Credit Extension, or lend, contribute or otherwise make available such Credit Extension or the proceeds of any Credit Extension to any Person, to fund any activities of or business with any Person, that, at the time of such funding, is the subject of Sanctions, or in any other manner that will result in a violation by any Person (including any Person participating in the transaction, whether as Lender, Arranger, Administrative Agent, L/C Issuer, Swingline Lender, or otherwise) of Sanctions.</w:t>
      </w:r>
    </w:p>
    <w:p>
      <w:pPr>
        <w:pStyle w:val="TextBody"/>
        <w:bidi w:val="0"/>
        <w:spacing w:lineRule="auto" w:line="240" w:before="0" w:after="240"/>
        <w:ind w:left="0" w:right="0" w:firstLine="720"/>
        <w:jc w:val="both"/>
        <w:rPr/>
      </w:pPr>
      <w:r>
        <w:rPr>
          <w:rFonts w:ascii="Times New Roman;serif" w:hAnsi="Times New Roman;serif"/>
          <w:b/>
          <w:color w:val="000000"/>
          <w:sz w:val="22"/>
        </w:rPr>
        <w:t>7.15</w:t>
      </w:r>
      <w:r>
        <w:rPr>
          <w:rFonts w:ascii="Times New Roman;serif" w:hAnsi="Times New Roman;serif"/>
          <w:b/>
          <w:color w:val="000000"/>
          <w:sz w:val="22"/>
          <w:u w:val="single"/>
        </w:rPr>
        <w:t>Anti-Corruption Laws; Anti-Money Laundering Laws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Directly or indirectly, use any Credit Extension or the proceeds of any Credit Extension for any purpose which would breach the United States Foreign Corrupt Practices Act of 1977, the UK Bribery Act 2010, the Corruption of Foreign Public Officials Act (Canada), the Criminal Code (Canada) or other anti-corruption legislation or anti-money laundering legislation in other jurisdictions.</w:t>
      </w:r>
    </w:p>
    <w:p>
      <w:pPr>
        <w:pStyle w:val="TextBody"/>
        <w:bidi w:val="0"/>
        <w:spacing w:lineRule="auto" w:line="240" w:before="0" w:after="240"/>
        <w:ind w:left="0" w:right="0" w:firstLine="720"/>
        <w:jc w:val="both"/>
        <w:rPr/>
      </w:pPr>
      <w:r>
        <w:rPr>
          <w:rFonts w:ascii="Times New Roman;serif" w:hAnsi="Times New Roman;serif"/>
          <w:b/>
          <w:color w:val="000000"/>
          <w:sz w:val="22"/>
        </w:rPr>
        <w:t>7.16</w:t>
      </w:r>
      <w:r>
        <w:rPr>
          <w:rFonts w:ascii="Times New Roman;serif" w:hAnsi="Times New Roman;serif"/>
          <w:b/>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7.17</w:t>
      </w:r>
      <w:r>
        <w:rPr>
          <w:rFonts w:ascii="Times New Roman;serif" w:hAnsi="Times New Roman;serif"/>
          <w:b/>
          <w:color w:val="000000"/>
          <w:sz w:val="22"/>
          <w:u w:val="single"/>
        </w:rPr>
        <w:t>Canadian Pension Plans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Contribute to or assume an obligation to contribute to any Canadian Defined Benefit Plan, without the prior written consent of the Administrative Agent (which consent shall not be unreasonably withheld). For greater certainty, should any Loan Party or any of its Subsidiaries undertake any action referenced in this </w:t>
      </w:r>
      <w:r>
        <w:rPr>
          <w:rFonts w:ascii="Times New Roman;serif" w:hAnsi="Times New Roman;serif"/>
          <w:b w:val="false"/>
          <w:color w:val="000000"/>
          <w:sz w:val="22"/>
          <w:u w:val="single"/>
        </w:rPr>
        <w:t>Section 7.17</w:t>
      </w:r>
      <w:r>
        <w:rPr>
          <w:color w:val="000000"/>
        </w:rPr>
        <w:t xml:space="preserve"> </w:t>
      </w:r>
      <w:r>
        <w:rPr>
          <w:rFonts w:ascii="Times New Roman;serif" w:hAnsi="Times New Roman;serif"/>
          <w:b w:val="false"/>
          <w:color w:val="000000"/>
          <w:sz w:val="22"/>
        </w:rPr>
        <w:t>after the Closing Date upon obtaining the consents required under this Agreement, the Administrative Agent reserves the right, as a condition of any such consent, to require amendments to this Agreement to include additional representations, warranties and covenants with respect to such Canadian Defined Benefit Plan that the Administrative Agent considers reasonably necessary or appropriate in the circumstances.</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85445"/>
                <wp:effectExtent l="0" t="0" r="0" b="0"/>
                <wp:wrapNone/>
                <wp:docPr id="155" name="Frame1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120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2"/>
        </w:rPr>
        <w:t>Article VIII</w:t>
      </w:r>
      <w:r>
        <w:rPr>
          <w:rFonts w:ascii="Times New Roman;serif" w:hAnsi="Times New Roman;serif"/>
          <w:b/>
          <w:color w:val="000000"/>
          <w:sz w:val="22"/>
        </w:rPr>
        <w:br/>
        <w:br/>
        <w:t>EVENTS OF DEFAULT AND REMEDIES</w:t>
      </w:r>
    </w:p>
    <w:p>
      <w:pPr>
        <w:pStyle w:val="TextBody"/>
        <w:bidi w:val="0"/>
        <w:spacing w:lineRule="auto" w:line="240" w:before="0" w:after="240"/>
        <w:ind w:left="0" w:right="0" w:firstLine="720"/>
        <w:jc w:val="both"/>
        <w:rPr/>
      </w:pPr>
      <w:r>
        <w:rPr>
          <w:rFonts w:ascii="Times New Roman;serif" w:hAnsi="Times New Roman;serif"/>
          <w:b/>
          <w:color w:val="000000"/>
          <w:sz w:val="22"/>
        </w:rPr>
        <w:t>8.01</w:t>
      </w:r>
      <w:r>
        <w:rPr>
          <w:rFonts w:ascii="Times New Roman;serif" w:hAnsi="Times New Roman;serif"/>
          <w:b/>
          <w:color w:val="000000"/>
          <w:sz w:val="22"/>
          <w:u w:val="single"/>
        </w:rPr>
        <w:t>Events of Default</w:t>
      </w:r>
      <w:r>
        <w:rPr>
          <w:rFonts w:ascii="Times New Roman;serif" w:hAnsi="Times New Roman;serif"/>
          <w:b w:val="false"/>
          <w:color w:val="000000"/>
          <w:sz w:val="22"/>
        </w:rPr>
        <w:t>.</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Any of the following shall constitute an event of default (each, an “</w:t>
      </w:r>
      <w:r>
        <w:rPr>
          <w:rFonts w:ascii="Times New Roman;serif" w:hAnsi="Times New Roman;serif"/>
          <w:b w:val="false"/>
          <w:i/>
          <w:color w:val="000000"/>
          <w:sz w:val="22"/>
          <w:u w:val="single"/>
        </w:rPr>
        <w:t>Event of Default</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Non-Payment</w:t>
      </w:r>
      <w:r>
        <w:rPr>
          <w:rFonts w:ascii="Times New Roman;serif" w:hAnsi="Times New Roman;serif"/>
          <w:b w:val="false"/>
          <w:color w:val="000000"/>
          <w:sz w:val="22"/>
        </w:rPr>
        <w:t>. Any Borrower or any other Loan Party fails to pay (i) when and as required to be paid herein and in the currency required hereunder, any amount of principal of any Loan or any L/C Obligation or deposit any funds as Cash Collateral in respect of L/C Obligations, or (ii) within three (3) days after the same becomes due, any interest on any Loan or on any L/C Obligation, or any fee due hereunder, or (iii) within five (5) days after the same becomes due, any other amount payable hereunder or under any other Loan Document;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Specific Covenants</w:t>
      </w:r>
      <w:r>
        <w:rPr>
          <w:rFonts w:ascii="Times New Roman;serif" w:hAnsi="Times New Roman;serif"/>
          <w:b w:val="false"/>
          <w:color w:val="000000"/>
          <w:sz w:val="22"/>
        </w:rPr>
        <w:t xml:space="preserve">. Any Loan Party fails to perform or observe any term, covenant or agreement contained in (i) any of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6.02</w:t>
      </w:r>
      <w:r>
        <w:rPr>
          <w:rFonts w:ascii="Times New Roman;serif" w:hAnsi="Times New Roman;serif"/>
          <w:b w:val="false"/>
          <w:color w:val="000000"/>
          <w:sz w:val="22"/>
        </w:rPr>
        <w:t xml:space="preserve">, and such failure continues for more than five (5) days, or (ii) any of </w:t>
      </w:r>
      <w:r>
        <w:rPr>
          <w:rFonts w:ascii="Times New Roman;serif" w:hAnsi="Times New Roman;serif"/>
          <w:b w:val="false"/>
          <w:color w:val="000000"/>
          <w:sz w:val="22"/>
          <w:u w:val="single"/>
        </w:rPr>
        <w:t>Section</w:t>
      </w:r>
      <w:r>
        <w:rPr>
          <w:color w:val="000000"/>
        </w:rPr>
        <w:t xml:space="preserve"> </w:t>
      </w:r>
      <w:r>
        <w:rPr>
          <w:rFonts w:ascii="Times New Roman;serif" w:hAnsi="Times New Roman;serif"/>
          <w:b w:val="false"/>
          <w:color w:val="000000"/>
          <w:sz w:val="22"/>
          <w:u w:val="single"/>
        </w:rPr>
        <w:t>6.03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6.05(a)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Article VII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Article X</w:t>
      </w:r>
      <w:r>
        <w:rPr>
          <w:rFonts w:ascii="Times New Roman;serif" w:hAnsi="Times New Roman;serif"/>
          <w:b w:val="false"/>
          <w:color w:val="000000"/>
          <w:sz w:val="22"/>
        </w:rPr>
        <w:t>, or any Guarantor fails to perform or observe any term, covenant or agreement contained the applicable Guaranty;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Other Defaults</w:t>
      </w:r>
      <w:r>
        <w:rPr>
          <w:rFonts w:ascii="Times New Roman;serif" w:hAnsi="Times New Roman;serif"/>
          <w:b w:val="false"/>
          <w:color w:val="000000"/>
          <w:sz w:val="22"/>
        </w:rPr>
        <w:t xml:space="preserve">. Any Loan Party fails to perform or observe any other covenant or agreement (not specified in </w:t>
      </w:r>
      <w:r>
        <w:rPr>
          <w:rFonts w:ascii="Times New Roman;serif" w:hAnsi="Times New Roman;serif"/>
          <w:b w:val="false"/>
          <w:color w:val="000000"/>
          <w:sz w:val="22"/>
          <w:u w:val="single"/>
        </w:rPr>
        <w:t>Section 8.01(a</w:t>
      </w:r>
      <w:r>
        <w:rPr>
          <w:rFonts w:ascii="Times New Roman;serif" w:hAnsi="Times New Roman;serif"/>
          <w:b w:val="false"/>
          <w:color w:val="000000"/>
          <w:sz w:val="22"/>
        </w:rPr>
        <w:t>) or (</w:t>
      </w:r>
      <w:r>
        <w:rPr>
          <w:rFonts w:ascii="Times New Roman;serif" w:hAnsi="Times New Roman;serif"/>
          <w:b w:val="false"/>
          <w:color w:val="000000"/>
          <w:sz w:val="22"/>
          <w:u w:val="single"/>
        </w:rPr>
        <w:t>b</w:t>
      </w:r>
      <w:r>
        <w:rPr>
          <w:rFonts w:ascii="Times New Roman;serif" w:hAnsi="Times New Roman;serif"/>
          <w:b w:val="false"/>
          <w:color w:val="000000"/>
          <w:sz w:val="22"/>
        </w:rPr>
        <w:t>) above) contained in any Loan Document on its part to be performed or observed and such failure continues for thirty (30) days;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Any representation, warranty, certification or statement of fact made or deemed made by or on behalf of any Borrower or any other Loan Party herein, in any other Loan Document, or in any document delivered in connection herewith or therewith shall be incorrect or misleading in any material respect when made or deemed made;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Cross-Default</w:t>
      </w:r>
      <w:r>
        <w:rPr>
          <w:rFonts w:ascii="Times New Roman;serif" w:hAnsi="Times New Roman;serif"/>
          <w:b w:val="false"/>
          <w:color w:val="000000"/>
          <w:sz w:val="22"/>
        </w:rPr>
        <w:t>. (i) Any Loan Party or any Subsidiary thereof (A) fails to make any payment when due (whether by scheduled maturity, required prepayment, acceleration, demand, or otherwise, and after giving effect to any applicable grace or cure period)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(after giving effect to any applicable grace or cure period)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w:t>
      </w:r>
      <w:r>
        <w:rPr>
          <w:color w:val="000000"/>
        </w:rPr>
        <w:t xml:space="preserve"> </w:t>
      </w:r>
      <w:r>
        <w:rPr>
          <w:rFonts w:ascii="Times New Roman;serif" w:hAnsi="Times New Roman;serif"/>
          <w:b w:val="false"/>
          <w:color w:val="000000"/>
          <w:sz w:val="22"/>
        </w:rPr>
        <w:t>(ii) there occurs under any Swap Contract an Early Termination Date (as defined in such Swap Contract) resulting from any event of default under such Swap Contract as to which a Loan Party or any Subsidiary thereof is the Defaulting Party (as defined in such Swap Contract) and, in such event, the Swap Termination Value owed by such Loan Party or such Subsidiary as a result thereof is greater than the Threshold Amount;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Insolvency Proceedings, Etc</w:t>
      </w:r>
      <w:r>
        <w:rPr>
          <w:rFonts w:ascii="Times New Roman;serif" w:hAnsi="Times New Roman;serif"/>
          <w:b w:val="false"/>
          <w:color w:val="000000"/>
          <w:sz w:val="22"/>
        </w:rPr>
        <w:t xml:space="preserve">. Any Loan Party or any Subsidiary (other than any Immaterial Subsidiary) thereof files, issues, institutes or consents to the filing, issuing or institution of any petition, procedure or proceeding under any Debtor Relief Law, or makes an assignment for the benefit of creditors or initiates or enters into a compromise or arrangement with any of its creditors; or applies for or consents to the appointment of any receiver, manager,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85445"/>
                <wp:effectExtent l="0" t="0" r="0" b="0"/>
                <wp:wrapNone/>
                <wp:docPr id="156" name="Frame1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receiver and manager, trustee, custodian, conservator, liquidator, rehabilitator, administrator, administrative receiver or similar officer for it or for all or any material part of its property; or any receiver, manager, receiver and manager, trustee, custodian, conservator, liquidator, rehabilitator, administrator, administrative receiver or similar officer is appointed without the application or consent of such Person and the appointment continues undischarged or unstayed for sixty (60) calendar days; or any petition, procedure or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Inability to Pay Debts; Attachment</w:t>
      </w:r>
      <w:r>
        <w:rPr>
          <w:rFonts w:ascii="Times New Roman;serif" w:hAnsi="Times New Roman;serif"/>
          <w:b w:val="false"/>
          <w:color w:val="000000"/>
          <w:sz w:val="22"/>
        </w:rPr>
        <w:t>. (i) Any Loan Party or any Subsidiary (other than any Immaterial Subsidiary) thereof becomes unable or admits in writing its inability or fails generally to pay its debts as they become due, is deemed to or declared to be unable to pay its debts under applicable Law, suspends or threatens to suspend making payments on any of its debts or by reason of actual or anticipated financial difficulties commences negotiations with one or more of its creditors with a view to rescheduling any of its indebtedness, (ii) the value of the assets of any Loan Party is less than its liabilities or (iii) any writ or warrant of attachment or execution or similar process is issued or levied against all or any material part of the property of any such Person and is not released, vacated or fully bonded within thirty (30) days after its issue or levy;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Judgments</w:t>
      </w:r>
      <w:r>
        <w:rPr>
          <w:rFonts w:ascii="Times New Roman;serif" w:hAnsi="Times New Roman;serif"/>
          <w:b w:val="false"/>
          <w:color w:val="000000"/>
          <w:sz w:val="22"/>
        </w:rPr>
        <w:t>. There is entered against any Loan Party or any Subsidiary (other than any Immaterial Subsidiary) thereof (i) one or more final judgments or orders for the payment of money in an aggregate amount (as to all such judgments and orders) exceeding the Threshold Amount (to the extent not covered by independent third-party insurance as to which the insurer is rated at least “A” by A.M. Best Company, has been notified of the potential claim and does not dispute coverage), or (ii) any one or more non-monetary final judgments or orders that have, or could reasonably be expected to have, individually or in the aggregate, a Material Adverse Effect and, in either case, (A) enforcement proceedings are commenced by any creditor upon such judgment or order, or (B) there is a period of thirty (30) consecutive days during such judgment or order shall not have been satisfied, vacated, discharged or stayed, by reason of a pending appeal or otherwise, is not in effect;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ERISA and Canadian Pension Plans</w:t>
      </w:r>
      <w:r>
        <w:rPr>
          <w:rFonts w:ascii="Times New Roman;serif" w:hAnsi="Times New Roman;serif"/>
          <w:b w:val="false"/>
          <w:color w:val="000000"/>
          <w:sz w:val="22"/>
        </w:rPr>
        <w:t>. (i) An ERISA Event occurs with respect to a Pension Plan or Multiemployer Plan which has resulted or could reasonably be expected to result in liability of any Loan Party to the Pension Plan, Multiemployer Plan or the PBGC in an aggregate amount in excess of the Threshold Amount, or (ii) any Loan Party or any ERISA Affiliate fails to pay when due, after the expiration of any applicable grace period, any installment payment with respect to its withdrawal liability under Section 4201 of ERISA under a Multiemployer Plan in an aggregate amount in excess of the Threshold Amount, or (iii) any Loan Party or Subsidiary establishes, maintains, sponsors, contributes to or otherwise incurs or assumes liability or obligations in respect of a Canadian Defined Benefit Plan without the prior written consent of the Administrative Agent, or (iv) a Canadian Pension Event occurs with respect to a Canadian Pension Plan or Canadian MEPP which has resulted or could reasonably be expected to result in liability of any Loan Party to the Canadian Pension Plan or Canadian MEPP in an aggregate amount in excess of the Threshold Amount;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UK Pensions Regulator</w:t>
      </w:r>
      <w:r>
        <w:rPr>
          <w:rFonts w:ascii="Times New Roman;serif" w:hAnsi="Times New Roman;serif"/>
          <w:b w:val="false"/>
          <w:color w:val="000000"/>
          <w:sz w:val="22"/>
        </w:rPr>
        <w:t>. The Pensions Regulator issues a Financial Support Direction or a Contribution Notice to any Loan Party or its Affiliate;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Invalidity of Loan Documents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Any provision of any Loan Document, at any time after its execution and delivery and for any reason other than as expressly permitted hereunder or thereunder or satisfaction in full of all Obligations arising under the Loan Documents, ceases to be in full force and effect; or any Loan Party or any other Person contests in any manner the validity or enforceability of any provision of any Loan Document; or any Loan Party denies that it has any or further liability or obligation under any provision of any Loan Document, or purports to revoke, terminate or rescind any provision of any Loan Document; or it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85445"/>
                <wp:effectExtent l="0" t="0" r="0" b="0"/>
                <wp:wrapNone/>
                <wp:docPr id="157" name="Frame1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122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is or becomes unlawful for a Loan Party to perform any of its obligations under the Loan Documents;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Change of Control</w:t>
      </w:r>
      <w:r>
        <w:rPr>
          <w:rFonts w:ascii="Times New Roman;serif" w:hAnsi="Times New Roman;serif"/>
          <w:b w:val="false"/>
          <w:color w:val="000000"/>
          <w:sz w:val="22"/>
        </w:rPr>
        <w:t>. There occurs any Change of Control.</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Without limiting the provisions of </w:t>
      </w:r>
      <w:r>
        <w:rPr>
          <w:rFonts w:ascii="Times New Roman;serif" w:hAnsi="Times New Roman;serif"/>
          <w:b w:val="false"/>
          <w:color w:val="000000"/>
          <w:sz w:val="22"/>
          <w:u w:val="single"/>
        </w:rPr>
        <w:t>Article IX</w:t>
      </w:r>
      <w:r>
        <w:rPr>
          <w:rFonts w:ascii="Times New Roman;serif" w:hAnsi="Times New Roman;serif"/>
          <w:b w:val="false"/>
          <w:color w:val="000000"/>
          <w:sz w:val="22"/>
        </w:rPr>
        <w:t xml:space="preserve">, if a Default shall have occurred under the Loan Documents, then such Default will continue to exist until it either is cured (within a grace period specifically provided herein) in accordance with the Loan Documents or is otherwise expressly waived by Administrative Agent (with the approval of requisite Appropriate Lenders (in their sole discretion)) as determined in accordance with </w:t>
      </w:r>
      <w:r>
        <w:rPr>
          <w:rFonts w:ascii="Times New Roman;serif" w:hAnsi="Times New Roman;serif"/>
          <w:b w:val="false"/>
          <w:color w:val="000000"/>
          <w:sz w:val="22"/>
          <w:u w:val="single"/>
        </w:rPr>
        <w:t>Section 11.01</w:t>
      </w:r>
      <w:r>
        <w:rPr>
          <w:rFonts w:ascii="Times New Roman;serif" w:hAnsi="Times New Roman;serif"/>
          <w:b w:val="false"/>
          <w:color w:val="000000"/>
          <w:sz w:val="22"/>
        </w:rPr>
        <w:t xml:space="preserve">; and once an Event of Default occurs under the Loan Documents, then such Event of Default will continue to exist until it is expressly waived by the requisite Appropriate Lenders or by the Administrative Agent with the approval of the requisite Appropriate Lenders, as required hereunder in </w:t>
      </w:r>
      <w:r>
        <w:rPr>
          <w:rFonts w:ascii="Times New Roman;serif" w:hAnsi="Times New Roman;serif"/>
          <w:b w:val="false"/>
          <w:color w:val="000000"/>
          <w:sz w:val="22"/>
          <w:u w:val="single"/>
        </w:rPr>
        <w:t>Section 11.01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8.02</w:t>
      </w:r>
      <w:r>
        <w:rPr>
          <w:rFonts w:ascii="Times New Roman;serif" w:hAnsi="Times New Roman;serif"/>
          <w:b/>
          <w:color w:val="000000"/>
          <w:sz w:val="22"/>
          <w:u w:val="single"/>
        </w:rPr>
        <w:t>Remedies upon Event of Default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any Event of Default occurs and is continuing, the Administrative Agent shall, at the request of, or may, with the consent of, the Required Lenders, take any or all of the following actions: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(a)declare the Commitment of each Lender to make Loans and any obligation of each L/C Issuer to make L/C Credit Extensions to be terminated, whereupon such commitments and obligation shall be terminated;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(c)require that the applicable Borrowers Cash Collateralize the L/C Obligations (in an amount equal to the Minimum Collateral Amount with respect thereto);</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(d)declare that Cash Collateral in respect of each Letter of Credit is immediately due and payable at which time it shall become immediately due and payable;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(e)declare that Cash Collateral in respect of each Letter of Credit is payable on demand at which time it shall immediately become due and payable on demand by the Administrative Agent on the instructions of the Appropriate Lenders;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(f)exercise on behalf of itself, the Lenders and the L/C Issuers all rights and remedies available to it, the Lenders and the L/C Issuers under the Loan Documents or Applicable Law or equity;</w:t>
      </w:r>
    </w:p>
    <w:p>
      <w:pPr>
        <w:pStyle w:val="TextBody"/>
        <w:bidi w:val="0"/>
        <w:spacing w:lineRule="auto" w:line="288" w:before="0" w:after="240"/>
        <w:jc w:val="both"/>
        <w:rPr/>
      </w:pP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upon the occurrence of an event described in </w:t>
      </w:r>
      <w:r>
        <w:rPr>
          <w:rFonts w:ascii="Times New Roman;serif" w:hAnsi="Times New Roman;serif"/>
          <w:b w:val="false"/>
          <w:color w:val="000000"/>
          <w:sz w:val="22"/>
          <w:u w:val="single"/>
        </w:rPr>
        <w:t>Section 8.01(f)</w:t>
      </w:r>
      <w:r>
        <w:rPr>
          <w:color w:val="000000"/>
        </w:rPr>
        <w:t xml:space="preserve"> </w:t>
      </w:r>
      <w:r>
        <w:rPr>
          <w:rFonts w:ascii="Times New Roman;serif" w:hAnsi="Times New Roman;serif"/>
          <w:b w:val="false"/>
          <w:color w:val="000000"/>
          <w:sz w:val="22"/>
        </w:rPr>
        <w:t>with respect to any Borrower, the Commitment of each Lender to make Loans and any obligation of each L/C Issuer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pStyle w:val="TextBody"/>
        <w:bidi w:val="0"/>
        <w:spacing w:lineRule="auto" w:line="240" w:before="0" w:after="240"/>
        <w:ind w:left="0" w:right="0" w:firstLine="720"/>
        <w:jc w:val="both"/>
        <w:rPr/>
      </w:pPr>
      <w:r>
        <w:rPr>
          <w:rFonts w:ascii="Times New Roman;serif" w:hAnsi="Times New Roman;serif"/>
          <w:b/>
          <w:color w:val="000000"/>
          <w:sz w:val="22"/>
        </w:rPr>
        <w:t>8.03</w:t>
      </w:r>
      <w:r>
        <w:rPr>
          <w:rFonts w:ascii="Times New Roman;serif" w:hAnsi="Times New Roman;serif"/>
          <w:b/>
          <w:color w:val="000000"/>
          <w:sz w:val="22"/>
          <w:u w:val="single"/>
        </w:rPr>
        <w:t>Application of Funds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(a)After the exercise of remedies provided for in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 xml:space="preserve">(or after the Loans have automatically become immediately due and payable and the L/C Obligations have automatically been required to be Cash Collateralized as set forth in the proviso to </w:t>
      </w:r>
      <w:r>
        <w:rPr>
          <w:rFonts w:ascii="Times New Roman;serif" w:hAnsi="Times New Roman;serif"/>
          <w:b w:val="false"/>
          <w:color w:val="000000"/>
          <w:sz w:val="22"/>
          <w:u w:val="single"/>
        </w:rPr>
        <w:t>Section 8.02</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85445"/>
                <wp:effectExtent l="0" t="0" r="0" b="0"/>
                <wp:wrapNone/>
                <wp:docPr id="158" name="Frame1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123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or if at any time insufficient funds are received by and available to the Administrative Agent to pay fully all Obligations and Additional Obligations then due hereunder, any amounts received on account of the Obligations and Additional Obligations shall, subject to the provisions of </w:t>
      </w:r>
      <w:r>
        <w:rPr>
          <w:rFonts w:ascii="Times New Roman;serif" w:hAnsi="Times New Roman;serif"/>
          <w:b w:val="false"/>
          <w:color w:val="000000"/>
          <w:sz w:val="22"/>
          <w:u w:val="single"/>
        </w:rPr>
        <w:t>Sections 2.14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2.15</w:t>
      </w:r>
      <w:r>
        <w:rPr>
          <w:rFonts w:ascii="Times New Roman;serif" w:hAnsi="Times New Roman;serif"/>
          <w:b w:val="false"/>
          <w:color w:val="000000"/>
          <w:sz w:val="22"/>
        </w:rPr>
        <w:t>, be applied by the Administrative Agent in the following order:</w:t>
      </w:r>
    </w:p>
    <w:p>
      <w:pPr>
        <w:pStyle w:val="TextBody"/>
        <w:bidi w:val="0"/>
        <w:spacing w:lineRule="auto" w:line="288" w:before="0" w:after="240"/>
        <w:ind w:left="0" w:right="0" w:firstLine="720"/>
        <w:jc w:val="both"/>
        <w:rPr/>
      </w:pPr>
      <w:r>
        <w:rPr>
          <w:rFonts w:ascii="Times New Roman;serif" w:hAnsi="Times New Roman;serif"/>
          <w:b w:val="false"/>
          <w:i/>
          <w:color w:val="000000"/>
          <w:sz w:val="22"/>
          <w:u w:val="single"/>
        </w:rPr>
        <w:t>First</w:t>
      </w:r>
      <w:r>
        <w:rPr>
          <w:rFonts w:ascii="Times New Roman;serif" w:hAnsi="Times New Roman;serif"/>
          <w:b w:val="false"/>
          <w:color w:val="000000"/>
          <w:sz w:val="22"/>
        </w:rPr>
        <w:t xml:space="preserve">, to payment of that portion of the Obligations and Additional Obligations constituting fees, indemnities, expenses and other amounts (including fees, charges and disbursements of counsel to the Administrative Agent and amounts payable under </w:t>
      </w:r>
      <w:r>
        <w:rPr>
          <w:rFonts w:ascii="Times New Roman;serif" w:hAnsi="Times New Roman;serif"/>
          <w:b w:val="false"/>
          <w:color w:val="000000"/>
          <w:sz w:val="22"/>
          <w:u w:val="single"/>
        </w:rPr>
        <w:t>Article III</w:t>
      </w:r>
      <w:r>
        <w:rPr>
          <w:rFonts w:ascii="Times New Roman;serif" w:hAnsi="Times New Roman;serif"/>
          <w:b w:val="false"/>
          <w:color w:val="000000"/>
          <w:sz w:val="22"/>
        </w:rPr>
        <w:t>) payable to the Administrative Agent in its capacity as such;</w:t>
      </w:r>
    </w:p>
    <w:p>
      <w:pPr>
        <w:pStyle w:val="TextBody"/>
        <w:bidi w:val="0"/>
        <w:spacing w:lineRule="auto" w:line="288" w:before="0" w:after="240"/>
        <w:ind w:left="0" w:right="0" w:firstLine="720"/>
        <w:jc w:val="both"/>
        <w:rPr/>
      </w:pPr>
      <w:r>
        <w:rPr>
          <w:rFonts w:ascii="Times New Roman;serif" w:hAnsi="Times New Roman;serif"/>
          <w:b w:val="false"/>
          <w:i/>
          <w:color w:val="000000"/>
          <w:sz w:val="22"/>
          <w:u w:val="single"/>
        </w:rPr>
        <w:t>Second</w:t>
      </w:r>
      <w:r>
        <w:rPr>
          <w:rFonts w:ascii="Times New Roman;serif" w:hAnsi="Times New Roman;serif"/>
          <w:b w:val="false"/>
          <w:color w:val="000000"/>
          <w:sz w:val="22"/>
        </w:rPr>
        <w:t xml:space="preserve">, to payment of that portion of the Obligations and Additional Obligations constituting fees, indemnities and other amounts (other than principal, interest and Letter of Credit Fees) payable to the Lenders and the L/C Issuers (including fees, charges and disbursements of counsel to the respective Lenders and the L/C Issuers) arising under the Loan Documents and amounts payable under </w:t>
      </w:r>
      <w:r>
        <w:rPr>
          <w:rFonts w:ascii="Times New Roman;serif" w:hAnsi="Times New Roman;serif"/>
          <w:b w:val="false"/>
          <w:color w:val="000000"/>
          <w:sz w:val="22"/>
          <w:u w:val="single"/>
        </w:rPr>
        <w:t>Article III</w:t>
      </w:r>
      <w:r>
        <w:rPr>
          <w:rFonts w:ascii="Times New Roman;serif" w:hAnsi="Times New Roman;serif"/>
          <w:b w:val="false"/>
          <w:color w:val="000000"/>
          <w:sz w:val="22"/>
        </w:rPr>
        <w:t xml:space="preserve">, ratably among them in proportion to the respective amounts described in this </w:t>
      </w:r>
      <w:r>
        <w:rPr>
          <w:rFonts w:ascii="Times New Roman;serif" w:hAnsi="Times New Roman;serif"/>
          <w:b w:val="false"/>
          <w:i/>
          <w:color w:val="000000"/>
          <w:sz w:val="22"/>
          <w:u w:val="single"/>
        </w:rPr>
        <w:t>Second</w:t>
      </w:r>
      <w:r>
        <w:rPr>
          <w:color w:val="000000"/>
        </w:rPr>
        <w:t xml:space="preserve"> </w:t>
      </w:r>
      <w:r>
        <w:rPr>
          <w:rFonts w:ascii="Times New Roman;serif" w:hAnsi="Times New Roman;serif"/>
          <w:b w:val="false"/>
          <w:color w:val="000000"/>
          <w:sz w:val="22"/>
        </w:rPr>
        <w:t>clause payable to them;</w:t>
      </w:r>
    </w:p>
    <w:p>
      <w:pPr>
        <w:pStyle w:val="TextBody"/>
        <w:bidi w:val="0"/>
        <w:spacing w:lineRule="auto" w:line="288" w:before="0" w:after="240"/>
        <w:ind w:left="0" w:right="0" w:firstLine="720"/>
        <w:jc w:val="both"/>
        <w:rPr/>
      </w:pPr>
      <w:r>
        <w:rPr>
          <w:rFonts w:ascii="Times New Roman;serif" w:hAnsi="Times New Roman;serif"/>
          <w:b w:val="false"/>
          <w:i/>
          <w:color w:val="000000"/>
          <w:sz w:val="22"/>
          <w:u w:val="single"/>
        </w:rPr>
        <w:t>Third</w:t>
      </w:r>
      <w:r>
        <w:rPr>
          <w:rFonts w:ascii="Times New Roman;serif" w:hAnsi="Times New Roman;serif"/>
          <w:b w:val="false"/>
          <w:color w:val="000000"/>
          <w:sz w:val="22"/>
        </w:rPr>
        <w:t xml:space="preserve">, to payment of that portion of the Obligations and Additional Obligations constituting accrued and unpaid Letter of Credit Fees and interest on the Loans, L/C Borrowings and other Obligations and Additional Obligations arising under the Loan Documents, ratably among the Lenders and the L/C Issuers in proportion to the respective amounts described in this </w:t>
      </w:r>
      <w:r>
        <w:rPr>
          <w:rFonts w:ascii="Times New Roman;serif" w:hAnsi="Times New Roman;serif"/>
          <w:b w:val="false"/>
          <w:i/>
          <w:color w:val="000000"/>
          <w:sz w:val="22"/>
          <w:u w:val="single"/>
        </w:rPr>
        <w:t>Third</w:t>
      </w:r>
      <w:r>
        <w:rPr>
          <w:color w:val="000000"/>
        </w:rPr>
        <w:t xml:space="preserve"> </w:t>
      </w:r>
      <w:r>
        <w:rPr>
          <w:rFonts w:ascii="Times New Roman;serif" w:hAnsi="Times New Roman;serif"/>
          <w:b w:val="false"/>
          <w:color w:val="000000"/>
          <w:sz w:val="22"/>
        </w:rPr>
        <w:t>clause payable to them;</w:t>
      </w:r>
    </w:p>
    <w:p>
      <w:pPr>
        <w:pStyle w:val="TextBody"/>
        <w:bidi w:val="0"/>
        <w:spacing w:lineRule="auto" w:line="288" w:before="0" w:after="240"/>
        <w:ind w:left="0" w:right="0" w:firstLine="720"/>
        <w:jc w:val="both"/>
        <w:rPr/>
      </w:pPr>
      <w:r>
        <w:rPr>
          <w:rFonts w:ascii="Times New Roman;serif" w:hAnsi="Times New Roman;serif"/>
          <w:b w:val="false"/>
          <w:i/>
          <w:color w:val="000000"/>
          <w:sz w:val="22"/>
          <w:u w:val="single"/>
        </w:rPr>
        <w:t>Fourth</w:t>
      </w:r>
      <w:r>
        <w:rPr>
          <w:rFonts w:ascii="Times New Roman;serif" w:hAnsi="Times New Roman;serif"/>
          <w:b w:val="false"/>
          <w:color w:val="000000"/>
          <w:sz w:val="22"/>
        </w:rPr>
        <w:t xml:space="preserve">, to payment of that portion of the Obligations and Additional Obligations constituting unpaid principal of the Loans (including Term Loans and Revolving Loans), L/C Borrowings and Additional Obligations then owing under Guaranteed Cash Management Agreements, and to the Administrative Agent for the account of the applicable L/C Issuer, to Cash Collateralize that portion of L/C Obligations comprised of the aggregate undrawn amount of Letters of Credit to the extent not otherwise Cash Collateralized by the Borrowers pursuant to </w:t>
      </w:r>
      <w:r>
        <w:rPr>
          <w:rFonts w:ascii="Times New Roman;serif" w:hAnsi="Times New Roman;serif"/>
          <w:b w:val="false"/>
          <w:color w:val="000000"/>
          <w:sz w:val="22"/>
          <w:u w:val="single"/>
        </w:rPr>
        <w:t>Sections 2.03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2.14</w:t>
      </w:r>
      <w:r>
        <w:rPr>
          <w:rFonts w:ascii="Times New Roman;serif" w:hAnsi="Times New Roman;serif"/>
          <w:b w:val="false"/>
          <w:color w:val="000000"/>
          <w:sz w:val="22"/>
        </w:rPr>
        <w:t xml:space="preserve">, in each case ratably among the Administrative Agent, the Lenders, the L/C Issuers, and the Cash Management Banks, in proportion to the respective amounts described in this </w:t>
      </w:r>
      <w:r>
        <w:rPr>
          <w:rFonts w:ascii="Times New Roman;serif" w:hAnsi="Times New Roman;serif"/>
          <w:b w:val="false"/>
          <w:i/>
          <w:color w:val="000000"/>
          <w:sz w:val="22"/>
          <w:u w:val="single"/>
        </w:rPr>
        <w:t>Fourth</w:t>
      </w:r>
      <w:r>
        <w:rPr>
          <w:color w:val="000000"/>
        </w:rPr>
        <w:t xml:space="preserve"> </w:t>
      </w:r>
      <w:r>
        <w:rPr>
          <w:rFonts w:ascii="Times New Roman;serif" w:hAnsi="Times New Roman;serif"/>
          <w:b w:val="false"/>
          <w:color w:val="000000"/>
          <w:sz w:val="22"/>
        </w:rPr>
        <w:t>clause held by them; and</w:t>
      </w:r>
    </w:p>
    <w:p>
      <w:pPr>
        <w:pStyle w:val="TextBody"/>
        <w:bidi w:val="0"/>
        <w:spacing w:lineRule="auto" w:line="288" w:before="0" w:after="240"/>
        <w:ind w:left="0" w:right="0" w:firstLine="720"/>
        <w:jc w:val="both"/>
        <w:rPr/>
      </w:pPr>
      <w:r>
        <w:rPr>
          <w:rFonts w:ascii="Times New Roman;serif" w:hAnsi="Times New Roman;serif"/>
          <w:b w:val="false"/>
          <w:i/>
          <w:color w:val="000000"/>
          <w:sz w:val="22"/>
          <w:u w:val="single"/>
        </w:rPr>
        <w:t>Last</w:t>
      </w:r>
      <w:r>
        <w:rPr>
          <w:rFonts w:ascii="Times New Roman;serif" w:hAnsi="Times New Roman;serif"/>
          <w:b w:val="false"/>
          <w:color w:val="000000"/>
          <w:sz w:val="22"/>
        </w:rPr>
        <w:t>, the balance, if any, after all of the Obligations and Additional Obligations have been indefeasibly paid in full, to the Borrowers or as otherwise required by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(b)Subject to </w:t>
      </w:r>
      <w:r>
        <w:rPr>
          <w:rFonts w:ascii="Times New Roman;serif" w:hAnsi="Times New Roman;serif"/>
          <w:b w:val="false"/>
          <w:color w:val="000000"/>
          <w:sz w:val="22"/>
          <w:u w:val="single"/>
        </w:rPr>
        <w:t>Sections 2.03(c</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2.14</w:t>
      </w:r>
      <w:r>
        <w:rPr>
          <w:rFonts w:ascii="Times New Roman;serif" w:hAnsi="Times New Roman;serif"/>
          <w:b w:val="false"/>
          <w:color w:val="000000"/>
          <w:sz w:val="22"/>
        </w:rPr>
        <w:t xml:space="preserve">, amounts used to Cash Collateralize the aggregate undrawn amount of Letters of Credit pursuant to the </w:t>
      </w:r>
      <w:r>
        <w:rPr>
          <w:rFonts w:ascii="Times New Roman;serif" w:hAnsi="Times New Roman;serif"/>
          <w:b w:val="false"/>
          <w:i/>
          <w:color w:val="000000"/>
          <w:sz w:val="22"/>
          <w:u w:val="single"/>
        </w:rPr>
        <w:t>Fourth</w:t>
      </w:r>
      <w:r>
        <w:rPr>
          <w:color w:val="000000"/>
        </w:rPr>
        <w:t xml:space="preserve"> </w:t>
      </w:r>
      <w:r>
        <w:rPr>
          <w:rFonts w:ascii="Times New Roman;serif" w:hAnsi="Times New Roman;serif"/>
          <w:b w:val="false"/>
          <w:color w:val="000000"/>
          <w:sz w:val="22"/>
        </w:rPr>
        <w:t>clause above shall be applied to satisfy drawings under such Letters of Credit as they occur. If any amount remains on deposit as Cash Collateral after all Letters of Credit have either been fully drawn or expired, such remaining amount shall be applied to the other Obligations and Additional Obligations, if any, in the order set forth above. Excluded Swap Obligations with respect to any Loan Party</w:t>
      </w:r>
      <w:r>
        <w:rPr>
          <w:color w:val="000000"/>
        </w:rPr>
        <w:t xml:space="preserve"> </w:t>
      </w:r>
      <w:r>
        <w:rPr>
          <w:rFonts w:ascii="Times New Roman;serif" w:hAnsi="Times New Roman;serif"/>
          <w:b w:val="false"/>
          <w:color w:val="000000"/>
          <w:sz w:val="22"/>
        </w:rPr>
        <w:t xml:space="preserve">shall not be paid with amounts received from such Loan Party or its assets, but appropriate adjustments shall be made with respect to payments from other Loan Parties to preserve the allocation to Obligations and Additional Obligations otherwise set forth above in this </w:t>
      </w:r>
      <w:r>
        <w:rPr>
          <w:rFonts w:ascii="Times New Roman;serif" w:hAnsi="Times New Roman;serif"/>
          <w:b w:val="false"/>
          <w:color w:val="000000"/>
          <w:sz w:val="22"/>
          <w:u w:val="single"/>
        </w:rPr>
        <w:t>Section 8.03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(c)Notwithstanding the foregoing, Additional Obligations arising under Guaranteed Cash Management Agreements shall be excluded from the application described above if the Administrative Agent has not received a Lender Party Designation Notice, together with such supporting documentation as the Administrative Agent may request, from the applicable Cash Management Bank, as the case may be. Each Cash Management Bank not a party to this Agreement that has given the notice contemplated by the preceding sentence shall, by such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85445"/>
                <wp:effectExtent l="0" t="0" r="0" b="0"/>
                <wp:wrapNone/>
                <wp:docPr id="159" name="Frame1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124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notice, be deemed to have acknowledged and accepted the appointment of the Administrative Agent pursuant to the terms of Article IX for itself and its Affiliates as if a "Lender" party hereto.</w:t>
      </w:r>
    </w:p>
    <w:p>
      <w:pPr>
        <w:pStyle w:val="TextBody"/>
        <w:bidi w:val="0"/>
        <w:spacing w:lineRule="auto" w:line="240" w:before="0" w:after="240"/>
        <w:jc w:val="center"/>
        <w:rPr/>
      </w:pPr>
      <w:r>
        <w:rPr>
          <w:rFonts w:ascii="Times New Roman;serif" w:hAnsi="Times New Roman;serif"/>
          <w:b/>
          <w:color w:val="000000"/>
          <w:sz w:val="22"/>
        </w:rPr>
        <w:t>Article IX</w:t>
      </w:r>
      <w:r>
        <w:rPr>
          <w:rFonts w:ascii="Times New Roman;serif" w:hAnsi="Times New Roman;serif"/>
          <w:b/>
          <w:color w:val="000000"/>
          <w:sz w:val="22"/>
        </w:rPr>
        <w:br/>
        <w:br/>
        <w:t>ADMINISTRATIVE AGENT</w:t>
      </w:r>
    </w:p>
    <w:p>
      <w:pPr>
        <w:pStyle w:val="TextBody"/>
        <w:bidi w:val="0"/>
        <w:spacing w:lineRule="auto" w:line="240" w:before="0" w:after="240"/>
        <w:ind w:left="0" w:right="0" w:firstLine="720"/>
        <w:jc w:val="both"/>
        <w:rPr/>
      </w:pPr>
      <w:r>
        <w:rPr>
          <w:rFonts w:ascii="Times New Roman;serif" w:hAnsi="Times New Roman;serif"/>
          <w:b/>
          <w:color w:val="000000"/>
          <w:sz w:val="22"/>
        </w:rPr>
        <w:t>9.01</w:t>
      </w:r>
      <w:r>
        <w:rPr>
          <w:rFonts w:ascii="Times New Roman;serif" w:hAnsi="Times New Roman;serif"/>
          <w:b/>
          <w:color w:val="000000"/>
          <w:sz w:val="22"/>
          <w:u w:val="single"/>
        </w:rPr>
        <w:t>Appointment and Authority</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of the Lenders (including in its capacities as a potential Cash Management Bank) and the L/C Issuers hereby irrevocably appoints, designates and authorizes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as otherwise expressly provided herein, the provisions of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are solely for the benefit of the Administrative Agent, the Lenders and the L/C Issuers, and neither the Borrowers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In addition, to the extent required under the laws of any jurisdiction other than the United States of America, each of the Lenders and Lender Parties hereby grants to the Administrative Agent any required powers of attorney to execute any Loan Document governed by the laws of such jurisdiction on such Lender’s or Lender Party’s behalf.</w:t>
      </w:r>
    </w:p>
    <w:p>
      <w:pPr>
        <w:pStyle w:val="TextBody"/>
        <w:bidi w:val="0"/>
        <w:spacing w:lineRule="auto" w:line="240" w:before="0" w:after="240"/>
        <w:ind w:left="0" w:right="0" w:firstLine="720"/>
        <w:jc w:val="both"/>
        <w:rPr/>
      </w:pPr>
      <w:r>
        <w:rPr>
          <w:rFonts w:ascii="Times New Roman;serif" w:hAnsi="Times New Roman;serif"/>
          <w:b/>
          <w:color w:val="000000"/>
          <w:sz w:val="22"/>
        </w:rPr>
        <w:t>9.02</w:t>
      </w:r>
      <w:r>
        <w:rPr>
          <w:rFonts w:ascii="Times New Roman;serif" w:hAnsi="Times New Roman;serif"/>
          <w:b/>
          <w:color w:val="000000"/>
          <w:sz w:val="22"/>
          <w:u w:val="single"/>
        </w:rPr>
        <w:t>Rights as a Lender</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any Loan Party or any Subsidiary or other Affiliate thereof as if such Person were not the Administrative Agent hereunder and without any duty to account therefor to the Lenders or to provide notice to or consent of the Lenders with respect thereto.</w:t>
      </w:r>
    </w:p>
    <w:p>
      <w:pPr>
        <w:pStyle w:val="TextBody"/>
        <w:bidi w:val="0"/>
        <w:spacing w:lineRule="auto" w:line="240" w:before="0" w:after="240"/>
        <w:ind w:left="0" w:right="0" w:firstLine="720"/>
        <w:jc w:val="both"/>
        <w:rPr/>
      </w:pPr>
      <w:r>
        <w:rPr>
          <w:rFonts w:ascii="Times New Roman;serif" w:hAnsi="Times New Roman;serif"/>
          <w:b/>
          <w:color w:val="000000"/>
          <w:sz w:val="22"/>
        </w:rPr>
        <w:t>9.03</w:t>
      </w:r>
      <w:r>
        <w:rPr>
          <w:rFonts w:ascii="Times New Roman;serif" w:hAnsi="Times New Roman;serif"/>
          <w:b/>
          <w:color w:val="000000"/>
          <w:sz w:val="22"/>
          <w:u w:val="single"/>
        </w:rPr>
        <w:t>Exculpatory Provisions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Administrative Agent or the Arranger, as applicable, shall not have any duties or obligations except those expressly set forth herein and in the other Loan Documents, and its duties hereunder shall be administrative in nature. Without limiting the generality of the foregoing, the Administrative Agent or the Arranger, as applicable, and their Related Parties: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(i)shall not be subject to any fiduciary or other implied duties, regardless of whether a Default has occurred and is continuing;</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(ii)shall not have any duty to take any discretionary action or exercise any discretionary powers, except discretionary rights and powers expressly contemplated hereby or by the other Loan Documents that the Administrative Agent is required to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85445"/>
                <wp:effectExtent l="0" t="0" r="0" b="0"/>
                <wp:wrapNone/>
                <wp:docPr id="160" name="Frame1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exercise as directed in writing by the Required Lenders (or such other number or percentage of the Lenders as shall be expressly provided for herein or in the other Loan Documents),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(iii)shall not have any duty or responsibility to disclose, and shall not be liable for the failure to disclose, to any Lender or any L/C Issuer any credit or other information concerning the business, prospects, operations, property, financial and other condition or creditworthiness of any of the Loan Parties or any of their Affiliates that is communicated to, or in the possession of, the Administrative Agent, Arranger or any of their Related Parties in any capacity, except for notices, reports and other documents expressly required to be furnished to the Lenders by the Administrative Agent herein.</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serif" w:hAnsi="Times New Roman;serif"/>
          <w:b w:val="false"/>
          <w:color w:val="000000"/>
          <w:sz w:val="22"/>
          <w:u w:val="single"/>
        </w:rPr>
        <w:t>Sections 11.01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8.02</w:t>
      </w:r>
      <w:r>
        <w:rPr>
          <w:rFonts w:ascii="Times New Roman;serif" w:hAnsi="Times New Roman;serif"/>
          <w:b w:val="false"/>
          <w:color w:val="000000"/>
          <w:sz w:val="22"/>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Borrowers, a Lender or an L/C Issuer.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or elsewhere herein, other than to confirm receipt of items expressly required to be delivered to the Administrative Agent.</w:t>
      </w:r>
    </w:p>
    <w:p>
      <w:pPr>
        <w:pStyle w:val="TextBody"/>
        <w:bidi w:val="0"/>
        <w:spacing w:lineRule="auto" w:line="240" w:before="0" w:after="240"/>
        <w:ind w:left="0" w:right="0" w:firstLine="720"/>
        <w:jc w:val="both"/>
        <w:rPr/>
      </w:pPr>
      <w:r>
        <w:rPr>
          <w:rFonts w:ascii="Times New Roman;serif" w:hAnsi="Times New Roman;serif"/>
          <w:b/>
          <w:color w:val="000000"/>
          <w:sz w:val="22"/>
        </w:rPr>
        <w:t>9.04</w:t>
      </w:r>
      <w:r>
        <w:rPr>
          <w:rFonts w:ascii="Times New Roman;serif" w:hAnsi="Times New Roman;serif"/>
          <w:b/>
          <w:color w:val="000000"/>
          <w:sz w:val="22"/>
          <w:u w:val="single"/>
        </w:rPr>
        <w:t>Reliance by Administrative Agent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Loan Parties), independent accountants and other experts selected by it, and shall not be liable for any action taken or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85445"/>
                <wp:effectExtent l="0" t="0" r="0" b="0"/>
                <wp:wrapNone/>
                <wp:docPr id="161" name="Frame1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not taken by it in accordance with the advice of any such counsel, accountants or experts. For purposes of determining compliance with the conditions specified in </w:t>
      </w:r>
      <w:r>
        <w:rPr>
          <w:rFonts w:ascii="Times New Roman;serif" w:hAnsi="Times New Roman;serif"/>
          <w:b w:val="false"/>
          <w:color w:val="000000"/>
          <w:sz w:val="22"/>
          <w:u w:val="single"/>
        </w:rPr>
        <w:t>Section 4.01</w:t>
      </w:r>
      <w:r>
        <w:rPr>
          <w:rFonts w:ascii="Times New Roman;serif" w:hAnsi="Times New Roman;serif"/>
          <w:b w:val="false"/>
          <w:color w:val="000000"/>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objections.</w:t>
      </w:r>
    </w:p>
    <w:p>
      <w:pPr>
        <w:pStyle w:val="TextBody"/>
        <w:bidi w:val="0"/>
        <w:spacing w:lineRule="auto" w:line="240" w:before="0" w:after="240"/>
        <w:ind w:left="0" w:right="0" w:firstLine="720"/>
        <w:jc w:val="both"/>
        <w:rPr/>
      </w:pPr>
      <w:r>
        <w:rPr>
          <w:rFonts w:ascii="Times New Roman;serif" w:hAnsi="Times New Roman;serif"/>
          <w:b/>
          <w:color w:val="000000"/>
          <w:sz w:val="22"/>
        </w:rPr>
        <w:t>9.05</w:t>
      </w:r>
      <w:r>
        <w:rPr>
          <w:rFonts w:ascii="Times New Roman;serif" w:hAnsi="Times New Roman;serif"/>
          <w:b/>
          <w:color w:val="000000"/>
          <w:sz w:val="22"/>
          <w:u w:val="single"/>
        </w:rPr>
        <w:t>Delegation of Duties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shall apply to any such sub-agent and to the Related Parties of the Administrative Agent and any such sub-agent, and shall apply to their respective activities in connection with the syndication of the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lineRule="auto" w:line="240" w:before="0" w:after="240"/>
        <w:ind w:left="0" w:right="0" w:firstLine="720"/>
        <w:jc w:val="both"/>
        <w:rPr/>
      </w:pPr>
      <w:r>
        <w:rPr>
          <w:rFonts w:ascii="Times New Roman;serif" w:hAnsi="Times New Roman;serif"/>
          <w:b/>
          <w:color w:val="000000"/>
          <w:sz w:val="22"/>
        </w:rPr>
        <w:t>9.06</w:t>
      </w:r>
      <w:r>
        <w:rPr>
          <w:rFonts w:ascii="Times New Roman;serif" w:hAnsi="Times New Roman;serif"/>
          <w:b/>
          <w:color w:val="000000"/>
          <w:sz w:val="22"/>
          <w:u w:val="single"/>
        </w:rPr>
        <w:t>Resignation of Administrative Agent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Notice</w:t>
      </w:r>
      <w:r>
        <w:rPr>
          <w:rFonts w:ascii="Times New Roman;serif" w:hAnsi="Times New Roman;serif"/>
          <w:b w:val="false"/>
          <w:color w:val="000000"/>
          <w:sz w:val="22"/>
        </w:rPr>
        <w:t>. The Administrative Agent may at any time give notice of its resignation to the Lenders, the L/C Issuers and the Borrowers. Upon receipt of any such notice of resignation, the Required Lenders shall have the right to appoint a successor, which shall be a bank with an office in the United States, or an Affiliate of any such bank with an office in the United States, which successor administrative agent shall be consented to by the Company at all times other than during the existence of an Event of Default (which consent of the Company shall not be unreasonably withheld or delayed).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Times New Roman;serif" w:hAnsi="Times New Roman;serif"/>
          <w:b w:val="false"/>
          <w:i/>
          <w:color w:val="000000"/>
          <w:sz w:val="22"/>
          <w:u w:val="single"/>
        </w:rPr>
        <w:t>Resignation Effective Date</w:t>
      </w:r>
      <w:r>
        <w:rPr>
          <w:color w:val="000000"/>
        </w:rPr>
        <w:t>”</w:t>
      </w:r>
      <w:r>
        <w:rPr>
          <w:rFonts w:ascii="Times New Roman;serif" w:hAnsi="Times New Roman;serif"/>
          <w:b w:val="false"/>
          <w:color w:val="000000"/>
          <w:sz w:val="22"/>
        </w:rPr>
        <w:t xml:space="preserve">), then the retiring Administrative Agent may (but shall not be obligated to) on behalf of the Lenders and the L/C Issuers, appoint a successor Administrative Agent meeting the qualifications set forth above, which successor administrative agent shall be consented to by the Company at all times other than during the existence of an Event of Default (which consent of the Company shall not be unreasonably withheld or delayed);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in no event shall any successor Administrative Agent be a Defaulting Lender. Whether or not a successor has been appointed, such resignation shall become effective in accordance with such notice on the Resignation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Defaulting Lender</w:t>
      </w:r>
      <w:r>
        <w:rPr>
          <w:rFonts w:ascii="Times New Roman;serif" w:hAnsi="Times New Roman;serif"/>
          <w:b w:val="false"/>
          <w:color w:val="000000"/>
          <w:sz w:val="22"/>
        </w:rPr>
        <w:t xml:space="preserve">. If the Person serving as Administrative Agent is a Defaulting Lender pursuant to </w:t>
      </w:r>
      <w:r>
        <w:rPr>
          <w:rFonts w:ascii="Times New Roman;serif" w:hAnsi="Times New Roman;serif"/>
          <w:b w:val="false"/>
          <w:color w:val="000000"/>
          <w:sz w:val="22"/>
          <w:u w:val="single"/>
        </w:rPr>
        <w:t>clause (d</w:t>
      </w:r>
      <w:r>
        <w:rPr>
          <w:rFonts w:ascii="Times New Roman;serif" w:hAnsi="Times New Roman;serif"/>
          <w:b w:val="false"/>
          <w:color w:val="000000"/>
          <w:sz w:val="22"/>
        </w:rPr>
        <w:t>) of the definition thereof, the Required Lenders may, to the extent permitted by Applicable Law, by notice in writing to the applicable Borrower and such Person remove such Person as Administrative Agent and, in consultation with the applicable Borrower, appoint a successor. If no such successor shall have been so appointed by the Required Lenders and shall have accepted such appointment within thirty (30) days (or such earlier day as shall be agreed by the Required Lenders) (the “</w:t>
      </w:r>
      <w:r>
        <w:rPr>
          <w:rFonts w:ascii="Times New Roman;serif" w:hAnsi="Times New Roman;serif"/>
          <w:b w:val="false"/>
          <w:i/>
          <w:color w:val="000000"/>
          <w:sz w:val="22"/>
          <w:u w:val="single"/>
        </w:rPr>
        <w:t>Removal Effective Date</w:t>
      </w:r>
      <w:r>
        <w:rPr>
          <w:color w:val="000000"/>
        </w:rPr>
        <w:t>”</w:t>
      </w:r>
      <w:r>
        <w:rPr>
          <w:rFonts w:ascii="Times New Roman;serif" w:hAnsi="Times New Roman;serif"/>
          <w:b w:val="false"/>
          <w:color w:val="000000"/>
          <w:sz w:val="22"/>
        </w:rPr>
        <w:t>), then such removal shall nonetheless become effective in accordance with such notice on the Removal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Effect of Resignation or Removal</w:t>
      </w:r>
      <w:r>
        <w:rPr>
          <w:rFonts w:ascii="Times New Roman;serif" w:hAnsi="Times New Roman;serif"/>
          <w:b w:val="false"/>
          <w:color w:val="000000"/>
          <w:sz w:val="22"/>
        </w:rPr>
        <w:t xml:space="preserve">. 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Issuers under any of the Loan Documents, the retiring or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85445"/>
                <wp:effectExtent l="0" t="0" r="0" b="0"/>
                <wp:wrapNone/>
                <wp:docPr id="162" name="Frame1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127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each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serif" w:hAnsi="Times New Roman;serif"/>
          <w:b w:val="false"/>
          <w:color w:val="000000"/>
          <w:sz w:val="22"/>
          <w:u w:val="single"/>
        </w:rPr>
        <w:t>Section 3.01(g</w:t>
      </w:r>
      <w:r>
        <w:rPr>
          <w:rFonts w:ascii="Times New Roman;serif" w:hAnsi="Times New Roman;serif"/>
          <w:b w:val="false"/>
          <w:color w:val="000000"/>
          <w:sz w:val="22"/>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w:t>
      </w:r>
      <w:r>
        <w:rPr>
          <w:rFonts w:ascii="Times New Roman;serif" w:hAnsi="Times New Roman;serif"/>
          <w:b w:val="false"/>
          <w:color w:val="000000"/>
          <w:sz w:val="22"/>
          <w:u w:val="single"/>
        </w:rPr>
        <w:t>Section 9.06</w:t>
      </w:r>
      <w:r>
        <w:rPr>
          <w:rFonts w:ascii="Times New Roman;serif" w:hAnsi="Times New Roman;serif"/>
          <w:b w:val="false"/>
          <w:color w:val="000000"/>
          <w:sz w:val="22"/>
        </w:rPr>
        <w:t xml:space="preserve">). The fees payable by the applicable Borrowers to a successor Administrative Agent shall be the same as those payable to its predecessor unless otherwise agreed between the applicable Borrowers and such successor. After the retiring or removed Administrative Agent’s resignation or removal hereunder and under the other Loan Documents, the provisions of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11.04</w:t>
      </w:r>
      <w:r>
        <w:rPr>
          <w:color w:val="000000"/>
        </w:rPr>
        <w:t xml:space="preserve"> </w:t>
      </w:r>
      <w:r>
        <w:rPr>
          <w:rFonts w:ascii="Times New Roman;serif" w:hAnsi="Times New Roman;serif"/>
          <w:b w:val="false"/>
          <w:color w:val="000000"/>
          <w:sz w:val="22"/>
        </w:rPr>
        <w:t>shall continue in effect for the benefit of such retiring or removed Administrative Agent, its sub-agents and their respective Related Parties in respect of any actions taken or omitted to be taken by any of them (A) while the retiring or removed Administrative Agent was acting as Administrative Agent and (B) after such resignation or removal for as long as any of them continues to act in any capacity hereunder or under the other Loan Documents, including, without limitation, (1) acting as collateral agent or otherwise holding any collateral security on behalf of any of the Lender Parties and (2) in respect of any actions taken in connection with transferring the agency to any successor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L/C Issuers and Swingline Lender</w:t>
      </w:r>
      <w:r>
        <w:rPr>
          <w:rFonts w:ascii="Times New Roman;serif" w:hAnsi="Times New Roman;serif"/>
          <w:b w:val="false"/>
          <w:color w:val="000000"/>
          <w:sz w:val="22"/>
        </w:rPr>
        <w:t xml:space="preserve">. Any resignation or removal by Bank of America as Administrative Agent pursuant to this </w:t>
      </w:r>
      <w:r>
        <w:rPr>
          <w:rFonts w:ascii="Times New Roman;serif" w:hAnsi="Times New Roman;serif"/>
          <w:b w:val="false"/>
          <w:color w:val="000000"/>
          <w:sz w:val="22"/>
          <w:u w:val="single"/>
        </w:rPr>
        <w:t>Section 9.06</w:t>
      </w:r>
      <w:r>
        <w:rPr>
          <w:color w:val="000000"/>
        </w:rPr>
        <w:t xml:space="preserve"> </w:t>
      </w:r>
      <w:r>
        <w:rPr>
          <w:rFonts w:ascii="Times New Roman;serif" w:hAnsi="Times New Roman;serif"/>
          <w:b w:val="false"/>
          <w:color w:val="000000"/>
          <w:sz w:val="22"/>
        </w:rPr>
        <w:t xml:space="preserve">shall also constitute its resignation as an L/C Issuer and Swingline Lender. If Bank of America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w:t>
      </w:r>
      <w:r>
        <w:rPr>
          <w:rFonts w:ascii="Times New Roman;serif" w:hAnsi="Times New Roman;serif"/>
          <w:b w:val="false"/>
          <w:color w:val="000000"/>
          <w:sz w:val="22"/>
          <w:u w:val="single"/>
        </w:rPr>
        <w:t>Section 2.03(c</w:t>
      </w:r>
      <w:r>
        <w:rPr>
          <w:rFonts w:ascii="Times New Roman;serif" w:hAnsi="Times New Roman;serif"/>
          <w:b w:val="false"/>
          <w:color w:val="000000"/>
          <w:sz w:val="22"/>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serif" w:hAnsi="Times New Roman;serif"/>
          <w:b w:val="false"/>
          <w:color w:val="000000"/>
          <w:sz w:val="22"/>
          <w:u w:val="single"/>
        </w:rPr>
        <w:t>Section 2.04(c</w:t>
      </w:r>
      <w:r>
        <w:rPr>
          <w:rFonts w:ascii="Times New Roman;serif" w:hAnsi="Times New Roman;serif"/>
          <w:b w:val="false"/>
          <w:color w:val="000000"/>
          <w:sz w:val="22"/>
        </w:rPr>
        <w:t>). Upon the appointment by the Borrowers of a successor L/C Issuer or Swingline Lender hereunder (which successor shall in all cases be a Lender other than a Defaulting Lender), (i) such successor shall succeed to and become vested with all of the rights, powers, privileges and duties of the retiring L/C Issuer or Swingline Lender, as applicable, (ii) the retiring L/C Issuer and Swingline Lender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pStyle w:val="TextBody"/>
        <w:bidi w:val="0"/>
        <w:spacing w:lineRule="auto" w:line="240" w:before="0" w:after="240"/>
        <w:ind w:left="0" w:right="0" w:firstLine="720"/>
        <w:jc w:val="both"/>
        <w:rPr/>
      </w:pPr>
      <w:r>
        <w:rPr>
          <w:rFonts w:ascii="Times New Roman;serif" w:hAnsi="Times New Roman;serif"/>
          <w:b/>
          <w:color w:val="000000"/>
          <w:sz w:val="22"/>
        </w:rPr>
        <w:t>9.07</w:t>
      </w:r>
      <w:r>
        <w:rPr>
          <w:rFonts w:ascii="Times New Roman;serif" w:hAnsi="Times New Roman;serif"/>
          <w:b/>
          <w:color w:val="000000"/>
          <w:sz w:val="22"/>
          <w:u w:val="single"/>
        </w:rPr>
        <w:t>Non-Reliance on the Administrative Agent, the Arranger and the Other Lenders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Each Lender and each L/C Issuer expressly acknowledges that none of the Administrative Agent nor the Arranger has made any representation or warranty to it, and that no act by the Administrative Agent or the Arranger hereafter taken, including any consent to, and acceptance of any assignment or review of the affairs of any Loan Party or any Affiliate thereof, shall be deemed to constitute any representation or warranty by the Administrative Agent or the Arranger to any Lender or each L/C Issuer as to any matter, including whether the Administrative Agent or the Arranger have disclosed material information in their (or their Related Parties’) possession. Each Lender and each L/C Issuer represents to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85445"/>
                <wp:effectExtent l="0" t="0" r="0" b="0"/>
                <wp:wrapNone/>
                <wp:docPr id="163" name="Frame1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Administrative Agent and the Arranger that it has, independently and without reliance upon the Administrative Agent, the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applicable Borrower hereunder. Each Lender and each L/C Issuer also acknowledges that it will, independently and without reliance upon the Administrative Agent, the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lineRule="auto" w:line="240" w:before="0" w:after="240"/>
        <w:ind w:left="0" w:right="0" w:firstLine="720"/>
        <w:jc w:val="both"/>
        <w:rPr/>
      </w:pPr>
      <w:r>
        <w:rPr>
          <w:rFonts w:ascii="Times New Roman;serif" w:hAnsi="Times New Roman;serif"/>
          <w:b/>
          <w:color w:val="000000"/>
          <w:sz w:val="22"/>
        </w:rPr>
        <w:t>9.08</w:t>
      </w:r>
      <w:r>
        <w:rPr>
          <w:rFonts w:ascii="Times New Roman;serif" w:hAnsi="Times New Roman;serif"/>
          <w:b/>
          <w:color w:val="000000"/>
          <w:sz w:val="22"/>
          <w:u w:val="single"/>
        </w:rPr>
        <w:t>No Other Duties, Etc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Anything herein to the contrary notwithstanding, none of the titles listed on the cover page hereof shall have any powers, duties or responsibilities under this Agreement or any of the other Loan Documents, except in its capacity, as applicable, as the Administrative Agent, the Arranger, a Lender or an L/C Issuer hereunder.</w:t>
      </w:r>
    </w:p>
    <w:p>
      <w:pPr>
        <w:pStyle w:val="TextBody"/>
        <w:bidi w:val="0"/>
        <w:spacing w:lineRule="auto" w:line="240" w:before="0" w:after="240"/>
        <w:ind w:left="0" w:right="0" w:firstLine="720"/>
        <w:jc w:val="both"/>
        <w:rPr/>
      </w:pPr>
      <w:r>
        <w:rPr>
          <w:rFonts w:ascii="Times New Roman;serif" w:hAnsi="Times New Roman;serif"/>
          <w:b/>
          <w:color w:val="000000"/>
          <w:sz w:val="22"/>
        </w:rPr>
        <w:t>9.09</w:t>
      </w:r>
      <w:r>
        <w:rPr>
          <w:rFonts w:ascii="Times New Roman;serif" w:hAnsi="Times New Roman;serif"/>
          <w:b/>
          <w:color w:val="000000"/>
          <w:sz w:val="22"/>
          <w:u w:val="single"/>
        </w:rPr>
        <w:t>Administrative Agent May File Proofs of Claim</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Borrowers) shall be entitled and empowered, by intervention in such proceeding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(i)to file and prove a claim for the whole amount of the principal and interest owing and unpaid in respect of the Loans, L/C Obligations and all other Obligations and Additional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Times New Roman;serif" w:hAnsi="Times New Roman;serif"/>
          <w:b w:val="false"/>
          <w:color w:val="000000"/>
          <w:sz w:val="22"/>
          <w:u w:val="single"/>
        </w:rPr>
        <w:t>Sections 2.03(l</w:t>
      </w:r>
      <w:r>
        <w:rPr>
          <w:rFonts w:ascii="Times New Roman;serif" w:hAnsi="Times New Roman;serif"/>
          <w:b w:val="false"/>
          <w:color w:val="000000"/>
          <w:sz w:val="22"/>
        </w:rPr>
        <w:t>) and (</w:t>
      </w:r>
      <w:r>
        <w:rPr>
          <w:rFonts w:ascii="Times New Roman;serif" w:hAnsi="Times New Roman;serif"/>
          <w:b w:val="false"/>
          <w:color w:val="000000"/>
          <w:sz w:val="22"/>
          <w:u w:val="single"/>
        </w:rPr>
        <w:t>m</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2.10(b</w:t>
      </w:r>
      <w:r>
        <w:rPr>
          <w:rFonts w:ascii="Times New Roman;serif" w:hAnsi="Times New Roman;serif"/>
          <w:b w:val="false"/>
          <w:color w:val="000000"/>
          <w:sz w:val="22"/>
        </w:rPr>
        <w:t>) and </w:t>
      </w:r>
      <w:r>
        <w:rPr>
          <w:rFonts w:ascii="Times New Roman;serif" w:hAnsi="Times New Roman;serif"/>
          <w:b w:val="false"/>
          <w:color w:val="000000"/>
          <w:sz w:val="22"/>
          <w:u w:val="single"/>
        </w:rPr>
        <w:t>11.04</w:t>
      </w:r>
      <w:r>
        <w:rPr>
          <w:rFonts w:ascii="Times New Roman;serif" w:hAnsi="Times New Roman;serif"/>
          <w:b w:val="false"/>
          <w:color w:val="000000"/>
          <w:sz w:val="22"/>
        </w:rPr>
        <w:t>) allowed in such judicial proceeding; and</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85445"/>
                <wp:effectExtent l="0" t="0" r="0" b="0"/>
                <wp:wrapNone/>
                <wp:docPr id="164" name="Frame1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129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(ii)to collect and receive any monies or other property payable or deliverable on any such claims and to distribute the same;</w:t>
      </w:r>
    </w:p>
    <w:p>
      <w:pPr>
        <w:pStyle w:val="TextBody"/>
        <w:bidi w:val="0"/>
        <w:spacing w:lineRule="auto" w:line="288" w:before="0" w:after="240"/>
        <w:jc w:val="both"/>
        <w:rPr/>
      </w:pPr>
      <w:r>
        <w:rPr>
          <w:rFonts w:ascii="Times New Roman;serif" w:hAnsi="Times New Roman;serif"/>
          <w:b w:val="false"/>
          <w:color w:val="000000"/>
          <w:sz w:val="22"/>
        </w:rPr>
        <w:t xml:space="preserve">and any custodian, receiver, manager, receiver and manager,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Times New Roman;serif" w:hAnsi="Times New Roman;serif"/>
          <w:b w:val="false"/>
          <w:color w:val="000000"/>
          <w:sz w:val="22"/>
          <w:u w:val="single"/>
        </w:rPr>
        <w:t>Sections 2.09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2.10(b</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11.04</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(b)Nothing contained herein shall be deemed to authorize the Administrative Agent to authorize or consent to or accept or adopt on behalf of any Lender or any L/C Issuer any plan of reorganization, arrangement, adjustment or composition affecting the Obligations and Additional Obligations or the rights of any Lender or any L/C Issuer to authorize the Administrative Agent to vote in respect of the claim of any Lender or any L/C Issuer or in any such proceeding.</w:t>
      </w:r>
    </w:p>
    <w:p>
      <w:pPr>
        <w:pStyle w:val="TextBody"/>
        <w:bidi w:val="0"/>
        <w:spacing w:lineRule="auto" w:line="240" w:before="0" w:after="240"/>
        <w:ind w:left="0" w:right="0" w:firstLine="720"/>
        <w:jc w:val="both"/>
        <w:rPr/>
      </w:pPr>
      <w:r>
        <w:rPr>
          <w:rFonts w:ascii="Times New Roman;serif" w:hAnsi="Times New Roman;serif"/>
          <w:b/>
          <w:color w:val="000000"/>
          <w:sz w:val="22"/>
        </w:rPr>
        <w:t>9.10</w:t>
      </w:r>
      <w:r>
        <w:rPr>
          <w:rFonts w:ascii="Times New Roman;serif" w:hAnsi="Times New Roman;serif"/>
          <w:b/>
          <w:color w:val="000000"/>
          <w:sz w:val="22"/>
          <w:u w:val="single"/>
        </w:rPr>
        <w:t>Guaranty Matters</w:t>
      </w:r>
      <w:r>
        <w:rPr>
          <w:rFonts w:ascii="Times New Roman;serif" w:hAnsi="Times New Roman;serif"/>
          <w:b w:val="false"/>
          <w:color w:val="000000"/>
          <w:sz w:val="22"/>
        </w:rPr>
        <w:t>.</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(a)Each of the Lenders (including in its capacities as a potential Cash Management Bank) and the L/C Issuers irrevocably authorize the Administrative Agent, at its option and in its discretion, to release any Guarantor from its obligations under the Guaranty if such Person ceases to be a Subsidiary</w:t>
      </w:r>
      <w:r>
        <w:rPr>
          <w:color w:val="000000"/>
        </w:rPr>
        <w:t xml:space="preserve"> </w:t>
      </w:r>
      <w:r>
        <w:rPr>
          <w:rFonts w:ascii="Times New Roman;serif" w:hAnsi="Times New Roman;serif"/>
          <w:b w:val="false"/>
          <w:color w:val="000000"/>
          <w:sz w:val="22"/>
        </w:rPr>
        <w:t>as a result of a transaction permitted under the Loan Documents.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(b)Upon request by the Administrative Agent at any time, the Required Lenders will confirm in writing the Administrative Agent’s authority to release any Guarantor from its obligations under the Guaranty pursuant to this </w:t>
      </w:r>
      <w:r>
        <w:rPr>
          <w:rFonts w:ascii="Times New Roman;serif" w:hAnsi="Times New Roman;serif"/>
          <w:b w:val="false"/>
          <w:color w:val="000000"/>
          <w:sz w:val="22"/>
          <w:u w:val="single"/>
        </w:rPr>
        <w:t>Section 9.10</w:t>
      </w:r>
      <w:r>
        <w:rPr>
          <w:rFonts w:ascii="Times New Roman;serif" w:hAnsi="Times New Roman;serif"/>
          <w:b w:val="false"/>
          <w:color w:val="000000"/>
          <w:sz w:val="22"/>
        </w:rPr>
        <w:t xml:space="preserve">. In each case as specified in this </w:t>
      </w:r>
      <w:r>
        <w:rPr>
          <w:rFonts w:ascii="Times New Roman;serif" w:hAnsi="Times New Roman;serif"/>
          <w:b w:val="false"/>
          <w:color w:val="000000"/>
          <w:sz w:val="22"/>
          <w:u w:val="single"/>
        </w:rPr>
        <w:t>Section 9.10</w:t>
      </w:r>
      <w:r>
        <w:rPr>
          <w:rFonts w:ascii="Times New Roman;serif" w:hAnsi="Times New Roman;serif"/>
          <w:b w:val="false"/>
          <w:color w:val="000000"/>
          <w:sz w:val="22"/>
        </w:rPr>
        <w:t xml:space="preserve">, the Administrative Agent will, at the Borrowers’ expense, execute and deliver to the applicable Loan Party such documents as such Loan Party may reasonably request to release such Guarantor from its obligations under the Guaranty, in each case in accordance with the terms of the Loan Documents and this </w:t>
      </w:r>
      <w:r>
        <w:rPr>
          <w:rFonts w:ascii="Times New Roman;serif" w:hAnsi="Times New Roman;serif"/>
          <w:b w:val="false"/>
          <w:color w:val="000000"/>
          <w:sz w:val="22"/>
          <w:u w:val="single"/>
        </w:rPr>
        <w:t>Section 9.10</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9.11</w:t>
      </w:r>
      <w:r>
        <w:rPr>
          <w:rFonts w:ascii="Times New Roman;serif" w:hAnsi="Times New Roman;serif"/>
          <w:b/>
          <w:color w:val="000000"/>
          <w:sz w:val="22"/>
          <w:u w:val="single"/>
        </w:rPr>
        <w:t>Guaranteed Cash Management Agreements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otherwise expressly set forth herein or in the Guaranty, no Cash Management Bank that obtains the benefit of the provisions of Section 8.03 or the Guaranty by virtue of the provisions hereof shall have any right to notice of any action or to consent to, direct or object to any action hereunder or under any other Loan Document (including the release or impairment of any collateral) (or to notice of or to consent to any amendment, waiver or modification of the provisions hereof or of the Guaranty) other than in its capacity as a Lender and, in such case, only to the extent expressly provided in the Loan Documents. Notwithstanding any other provision of this Article IX to the contrary, the Administrative Agent shall not be required to verify the payment of, or that other satisfactory arrangements have been made with respect to, Additional Obligations arising under Guaranteed Cash Management Agreements except to the extent expressly provided herein and unless the Administrative Agent has received a Lender Party Designation Notice of such Additional Obligations, together with such supporting documentation as the Administrative Agent may request, from the applicable Cash Management Bank. The Administrative Agent shall not be required to verify the payment of, or that other satisfactory arrangements have been made with respect to, Additional Obligations arising under Guaranteed Cash Management Agreements in the case of a Facility Termination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85445"/>
                <wp:effectExtent l="0" t="0" r="0" b="0"/>
                <wp:wrapNone/>
                <wp:docPr id="165" name="Frame1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130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9.12</w:t>
      </w:r>
      <w:r>
        <w:rPr>
          <w:rFonts w:ascii="Times New Roman;serif" w:hAnsi="Times New Roman;serif"/>
          <w:b/>
          <w:color w:val="000000"/>
          <w:sz w:val="22"/>
          <w:u w:val="single"/>
        </w:rPr>
        <w:t>Certain ERISA Matters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Loan Party, that at least one of the following is and will be true: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(iv)such other representation, warranty and covenant as may be agreed in writing between the Administrative Agent, in its sole discretion, and such Lender.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(b)In addition, unless either (1) </w:t>
      </w:r>
      <w:r>
        <w:rPr>
          <w:rFonts w:ascii="Times New Roman;serif" w:hAnsi="Times New Roman;serif"/>
          <w:b w:val="false"/>
          <w:color w:val="000000"/>
          <w:sz w:val="22"/>
          <w:u w:val="single"/>
        </w:rPr>
        <w:t>clause (i</w:t>
      </w:r>
      <w:r>
        <w:rPr>
          <w:rFonts w:ascii="Times New Roman;serif" w:hAnsi="Times New Roman;serif"/>
          <w:b w:val="false"/>
          <w:color w:val="000000"/>
          <w:sz w:val="22"/>
        </w:rPr>
        <w:t xml:space="preserve">) in the immediately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 xml:space="preserve">) is true with respect to a Lender or (2) a Lender has provided another representation, warranty and covenant in accordance with </w:t>
      </w:r>
      <w:r>
        <w:rPr>
          <w:rFonts w:ascii="Times New Roman;serif" w:hAnsi="Times New Roman;serif"/>
          <w:b w:val="false"/>
          <w:color w:val="000000"/>
          <w:sz w:val="22"/>
          <w:u w:val="single"/>
        </w:rPr>
        <w:t>clause (iv</w:t>
      </w:r>
      <w:r>
        <w:rPr>
          <w:rFonts w:ascii="Times New Roman;serif" w:hAnsi="Times New Roman;serif"/>
          <w:b w:val="false"/>
          <w:color w:val="000000"/>
          <w:sz w:val="22"/>
        </w:rPr>
        <w:t xml:space="preserve">) in the immediately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Loan Party, that the Administrative Agent</w:t>
      </w:r>
      <w:r>
        <w:rPr>
          <w:color w:val="000000"/>
        </w:rPr>
        <w:t xml:space="preserve"> </w:t>
      </w:r>
      <w:r>
        <w:rPr>
          <w:rFonts w:ascii="Times New Roman;serif" w:hAnsi="Times New Roman;serif"/>
          <w:b w:val="false"/>
          <w:color w:val="000000"/>
          <w:sz w:val="22"/>
        </w:rPr>
        <w:t>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lineRule="auto" w:line="240" w:before="0" w:after="240"/>
        <w:ind w:left="0" w:right="0" w:firstLine="720"/>
        <w:jc w:val="both"/>
        <w:rPr/>
      </w:pPr>
      <w:r>
        <w:rPr>
          <w:rFonts w:ascii="Times New Roman;serif" w:hAnsi="Times New Roman;serif"/>
          <w:b/>
          <w:color w:val="000000"/>
          <w:sz w:val="22"/>
        </w:rPr>
        <w:t>9.13</w:t>
      </w:r>
      <w:r>
        <w:rPr>
          <w:rFonts w:ascii="Times New Roman;serif" w:hAnsi="Times New Roman;serif"/>
          <w:b/>
          <w:color w:val="000000"/>
          <w:sz w:val="22"/>
          <w:u w:val="single"/>
        </w:rPr>
        <w:t>Recovery of Erroneous Payments</w:t>
      </w:r>
      <w:r>
        <w:rPr>
          <w:rFonts w:ascii="Times New Roman;serif" w:hAnsi="Times New Roman;serif"/>
          <w:b w:val="false"/>
          <w:color w:val="000000"/>
          <w:sz w:val="22"/>
        </w:rPr>
        <w:t xml:space="preserve">. </w:t>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Without limitation of any other provision in this Agreement, if at any time the Administrative Agent makes a payment hereunder in error to any Lender Recipient Party, whether or not in respect of an Obligation due and owing by any Borrower at such time, where such payment is a Rescindable Amount,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85445"/>
                <wp:effectExtent l="0" t="0" r="0" b="0"/>
                <wp:wrapNone/>
                <wp:docPr id="166" name="Frame1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then in any such event, each Lender Recipient Party receiving a Rescindable Amount severally agrees to repay to the Administrative Agent forthwith on demand the Rescindable Amount received by such Lender Recipient Party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pStyle w:val="TextBody"/>
        <w:bidi w:val="0"/>
        <w:spacing w:before="0" w:after="0"/>
        <w:ind w:left="0" w:right="0" w:firstLine="720"/>
        <w:jc w:val="both"/>
        <w:rPr/>
      </w:pPr>
      <w:r>
        <w:rPr/>
      </w:r>
    </w:p>
    <w:p>
      <w:pPr>
        <w:pStyle w:val="TextBody"/>
        <w:bidi w:val="0"/>
        <w:spacing w:lineRule="auto" w:line="240" w:before="0" w:after="240"/>
        <w:jc w:val="center"/>
        <w:rPr/>
      </w:pPr>
      <w:r>
        <w:rPr>
          <w:rFonts w:ascii="Times New Roman;serif" w:hAnsi="Times New Roman;serif"/>
          <w:b/>
          <w:color w:val="000000"/>
          <w:sz w:val="22"/>
        </w:rPr>
        <w:t>Article X</w:t>
      </w:r>
      <w:r>
        <w:rPr>
          <w:rFonts w:ascii="Times New Roman;serif" w:hAnsi="Times New Roman;serif"/>
          <w:b/>
          <w:color w:val="000000"/>
          <w:sz w:val="22"/>
        </w:rPr>
        <w:br/>
        <w:br/>
        <w:t>CONTINUING GUARANTY</w:t>
      </w:r>
    </w:p>
    <w:p>
      <w:pPr>
        <w:pStyle w:val="TextBody"/>
        <w:bidi w:val="0"/>
        <w:spacing w:lineRule="auto" w:line="240" w:before="0" w:after="240"/>
        <w:ind w:left="0" w:right="0" w:firstLine="720"/>
        <w:jc w:val="both"/>
        <w:rPr/>
      </w:pPr>
      <w:r>
        <w:rPr>
          <w:rFonts w:ascii="Times New Roman;serif" w:hAnsi="Times New Roman;serif"/>
          <w:b/>
          <w:color w:val="000000"/>
          <w:sz w:val="22"/>
        </w:rPr>
        <w:t>10.01</w:t>
      </w:r>
      <w:r>
        <w:rPr>
          <w:rFonts w:ascii="Times New Roman;serif" w:hAnsi="Times New Roman;serif"/>
          <w:b/>
          <w:color w:val="000000"/>
          <w:sz w:val="22"/>
          <w:u w:val="single"/>
        </w:rPr>
        <w:t>Guaranty</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(a)The Company hereby absolutely and unconditionally, guarantees, as primary obligor and as a guaranty of payment and performance and not merely as a guaranty of collection, prompt payment when due, whether at stated maturity, by required prepayment, upon acceleration, demand or otherwise, and at all times thereafter, of any and all Obligations of any Designated Borrower and Additional Obligations of any Loan Party or any Subsidiary and (b) each other Guarantor hereby absolutely and unconditionally, jointly and severally guarantees, as primary obligor and as a guaranty of payment and performance and not merely as a guaranty of collection, prompt payment when due, whether at stated maturity, by required prepayment, upon acceleration, demand or otherwise, and at all times thereafter, of any and all Obligations and Additional Obligations (for each Guarantor, subject to the proviso in this sentence, its “</w:t>
      </w:r>
      <w:r>
        <w:rPr>
          <w:rFonts w:ascii="Times New Roman;serif" w:hAnsi="Times New Roman;serif"/>
          <w:b w:val="false"/>
          <w:i/>
          <w:color w:val="000000"/>
          <w:sz w:val="22"/>
          <w:u w:val="single"/>
        </w:rPr>
        <w:t>Guaranteed Obligations</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 the Guaranteed Obligations of a Guarantor shall exclude any Excluded Swap Obligations with respect to such Guarantor and (b) the liability of each Guarantor individually with respect to this Guaranty shall be limited to an aggregate amount equal to the largest amount that would not render its obligations hereunder subject to avoidance under Section 548 of the Bankruptcy Code of the United States or any comparable provisions of any applicable state law or other Applicable Law. Without limiting the generality of the foregoing, the Guaranteed Obligations shall include any such indebtedness, obligations, and liabilities, or portion thereof, which may be or hereafter become unenforceable or compromised or shall be an allowed or disallowed claim under any proceeding or case commenced by or against any debtor under any Debtor Relief Laws. The Administrative Agent’s books and records showing the amount of the Obligations and Additional Obligations shall be admissible in evidence in any action or proceeding, and shall be binding upon each Guarantor, and conclusive for the purpose of establishing the amount of the Obligations and Additional Obligations. This Guaranty shall not be affected by the genuineness, validity, regularity or enforceability of the Obligations and Additional Obligations or any instrument or agreement evidencing any Obligations and Additional Obligations, or by the existence, validity, enforceability, perfection, non-perfection or extent of any collateral therefor, or by any fact or circumstance relating to the Obligations and Additional Obligations which might otherwise constitute a defense to the obligations of the Guarantors, or any of them, under this Guaranty, and each Guarantor hereby irrevocably waives any defenses it may now have or hereafter acquire in any way relating to any or all of the foregoing.</w:t>
      </w:r>
    </w:p>
    <w:p>
      <w:pPr>
        <w:pStyle w:val="TextBody"/>
        <w:bidi w:val="0"/>
        <w:spacing w:lineRule="auto" w:line="240" w:before="0" w:after="240"/>
        <w:ind w:left="0" w:right="0" w:firstLine="720"/>
        <w:jc w:val="both"/>
        <w:rPr/>
      </w:pPr>
      <w:r>
        <w:rPr>
          <w:rFonts w:ascii="Times New Roman;serif" w:hAnsi="Times New Roman;serif"/>
          <w:b/>
          <w:color w:val="000000"/>
          <w:sz w:val="22"/>
        </w:rPr>
        <w:t>10.02</w:t>
      </w:r>
      <w:r>
        <w:rPr>
          <w:rFonts w:ascii="Times New Roman;serif" w:hAnsi="Times New Roman;serif"/>
          <w:b/>
          <w:color w:val="000000"/>
          <w:sz w:val="22"/>
          <w:u w:val="single"/>
        </w:rPr>
        <w:t>Rights of Lenders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Each Guarantor consents and agrees that the Lender Parties may, at any time and from time to time, without notice or demand, and without affecting the enforceability or continuing effectiveness hereof: (a) amend, extend, renew, compromise, discharge, accelerate or otherwise change the time for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85445"/>
                <wp:effectExtent l="0" t="0" r="0" b="0"/>
                <wp:wrapNone/>
                <wp:docPr id="167" name="Frame1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payment or the terms of the Obligations and Additional Obligations or any part thereof; (b) take, hold, exchange, enforce, waive, release, fail to perfect, sell, or otherwise dispose of any security for the payment of this Guaranty or any Obligations and Additional Obligations; (c) apply such security and direct the order or manner of sale thereof as the Administrative Agent, the L/C Issuer and the Lenders in their sole discretion may determine; and (d) release or substitute one or more of any endorsers or other guarantors of any of the Obligations and Additional Obligations. Without limiting the generality of the foregoing, each Guarantor consents to the taking of, or failure to take, any action which might in any manner or to any extent vary the risks of such Guarantor under this Guaranty or which, but for this provision, might operate as a discharge of such Guarantor.</w:t>
      </w:r>
    </w:p>
    <w:p>
      <w:pPr>
        <w:pStyle w:val="TextBody"/>
        <w:bidi w:val="0"/>
        <w:spacing w:lineRule="auto" w:line="240" w:before="0" w:after="240"/>
        <w:ind w:left="0" w:right="0" w:firstLine="720"/>
        <w:jc w:val="both"/>
        <w:rPr/>
      </w:pPr>
      <w:r>
        <w:rPr>
          <w:rFonts w:ascii="Times New Roman;serif" w:hAnsi="Times New Roman;serif"/>
          <w:b/>
          <w:color w:val="000000"/>
          <w:sz w:val="22"/>
        </w:rPr>
        <w:t>10.03</w:t>
      </w:r>
      <w:r>
        <w:rPr>
          <w:rFonts w:ascii="Times New Roman;serif" w:hAnsi="Times New Roman;serif"/>
          <w:b/>
          <w:color w:val="000000"/>
          <w:sz w:val="22"/>
          <w:u w:val="single"/>
        </w:rPr>
        <w:t>Certain Waivers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Guarantor waives (a) any defense arising by reason of any disability or other defense of any Borrower or any other guarantor, or the cessation from any cause whatsoever (including any act or omission of any Lender Party) of the liability of any Borrower or any other Loan Party; (b) any defense based on any claim that such Guarantor’s obligations exceed or are more burdensome than those of any Borrower or any other Loan Party; (c) the benefit of any statute of limitations affecting any Guarantor’s liability hereunder; (d) any right to proceed against any Borrower or any other Loan Party, proceed against or exhaust any security for the Obligations and Additional Obligations, or pursue any other remedy in the power of any Lender Party whatsoever; (e) any benefit of and any right to participate in any security now or hereafter held by any Lender Party; and (f) to the fullest extent permitted by law, any and all other defenses or benefits that may be derived from or afforded by Applicable Law limiting the liability of or exonerating guarantors or sureties.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Obligations and Additional Obligations, and all notices of acceptance of this Guaranty or of the existence, creation or incurrence of new or additional Obligations and Additional Obligations.</w:t>
      </w:r>
    </w:p>
    <w:p>
      <w:pPr>
        <w:pStyle w:val="TextBody"/>
        <w:bidi w:val="0"/>
        <w:spacing w:lineRule="auto" w:line="240" w:before="0" w:after="240"/>
        <w:ind w:left="0" w:right="0" w:firstLine="720"/>
        <w:jc w:val="both"/>
        <w:rPr/>
      </w:pPr>
      <w:r>
        <w:rPr>
          <w:rFonts w:ascii="Times New Roman;serif" w:hAnsi="Times New Roman;serif"/>
          <w:b/>
          <w:color w:val="000000"/>
          <w:sz w:val="22"/>
        </w:rPr>
        <w:t>10.04</w:t>
      </w:r>
      <w:r>
        <w:rPr>
          <w:rFonts w:ascii="Times New Roman;serif" w:hAnsi="Times New Roman;serif"/>
          <w:b/>
          <w:color w:val="000000"/>
          <w:sz w:val="22"/>
          <w:u w:val="single"/>
        </w:rPr>
        <w:t>Obligations Independent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obligations of each Guarantor hereunder are those of primary obligor, and not merely as surety, and are independent of the Obligations and Additional Obligations and the obligations of any other guarantor, and a separate action may be brought against each Guarantor to enforce this Guaranty whether or not any Borrower or any other person or entity is joined as a party.</w:t>
      </w:r>
    </w:p>
    <w:p>
      <w:pPr>
        <w:pStyle w:val="TextBody"/>
        <w:bidi w:val="0"/>
        <w:spacing w:lineRule="auto" w:line="240" w:before="0" w:after="240"/>
        <w:ind w:left="0" w:right="0" w:firstLine="720"/>
        <w:jc w:val="both"/>
        <w:rPr/>
      </w:pPr>
      <w:r>
        <w:rPr>
          <w:rFonts w:ascii="Times New Roman;serif" w:hAnsi="Times New Roman;serif"/>
          <w:b/>
          <w:color w:val="000000"/>
          <w:sz w:val="22"/>
        </w:rPr>
        <w:t>10.05</w:t>
      </w:r>
      <w:r>
        <w:rPr>
          <w:rFonts w:ascii="Times New Roman;serif" w:hAnsi="Times New Roman;serif"/>
          <w:b/>
          <w:color w:val="000000"/>
          <w:sz w:val="22"/>
          <w:u w:val="single"/>
        </w:rPr>
        <w:t>Subrogation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Guarantor shall exercise any right of subrogation, contribution, indemnity, reimbursement or similar rights with respect to any payments it makes under this Guaranty until the Facility Termination Date. If any amounts are paid to a Guarantor in violation of the foregoing limitation, then such amounts shall be held in trust for the benefit of the Lender Parties and shall forthwith be paid to the Lender Parties to reduce the amount of the Obligations and Additional Obligations, whether matured or unmatured.</w:t>
      </w:r>
    </w:p>
    <w:p>
      <w:pPr>
        <w:pStyle w:val="TextBody"/>
        <w:bidi w:val="0"/>
        <w:spacing w:lineRule="auto" w:line="240" w:before="0" w:after="240"/>
        <w:ind w:left="0" w:right="0" w:firstLine="720"/>
        <w:jc w:val="both"/>
        <w:rPr/>
      </w:pPr>
      <w:r>
        <w:rPr>
          <w:rFonts w:ascii="Times New Roman;serif" w:hAnsi="Times New Roman;serif"/>
          <w:b/>
          <w:color w:val="000000"/>
          <w:sz w:val="22"/>
        </w:rPr>
        <w:t>10.06</w:t>
      </w:r>
      <w:r>
        <w:rPr>
          <w:rFonts w:ascii="Times New Roman;serif" w:hAnsi="Times New Roman;serif"/>
          <w:b/>
          <w:color w:val="000000"/>
          <w:sz w:val="22"/>
          <w:u w:val="single"/>
        </w:rPr>
        <w:t>Termination; Reinstatement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This Guaranty is a continuing and irrevocable guaranty of all Obligations and Additional Obligations now or hereafter existing and shall remain in full force and effect until the Facility Termination Date. Notwithstanding the foregoing, this Guaranty shall continue in full force and effect or be revived, as the case may be, if any payment by or on behalf of any Borrower or a Guarantor is made,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85445"/>
                <wp:effectExtent l="0" t="0" r="0" b="0"/>
                <wp:wrapNone/>
                <wp:docPr id="168" name="Frame1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or any of the Lender Parties exercises its right of setoff, in respect of the Obligations and Additional Obligations and such payment or the proceeds of such setoff or any part thereof is subsequently invalidated, declared to be fraudulent or preferential, set aside or required (including pursuant to any settlement entered into by any of the Lender Parties in their discretion) to be repaid to a trustee, receiver or any other party, in connection with any proceeding under any Debtor Relief Laws or otherwise, all as if such payment had not been made or such setoff had not occurred and whether or not the Lender Parties are in possession of or have released this Guaranty and regardless of any prior revocation, rescission, termination or reduction. The obligations of each Guarantor under this </w:t>
      </w:r>
      <w:r>
        <w:rPr>
          <w:rFonts w:ascii="Times New Roman;serif" w:hAnsi="Times New Roman;serif"/>
          <w:b w:val="false"/>
          <w:color w:val="000000"/>
          <w:sz w:val="22"/>
          <w:u w:val="single"/>
        </w:rPr>
        <w:t>Section 10.06</w:t>
      </w:r>
      <w:r>
        <w:rPr>
          <w:color w:val="000000"/>
        </w:rPr>
        <w:t xml:space="preserve"> </w:t>
      </w:r>
      <w:r>
        <w:rPr>
          <w:rFonts w:ascii="Times New Roman;serif" w:hAnsi="Times New Roman;serif"/>
          <w:b w:val="false"/>
          <w:color w:val="000000"/>
          <w:sz w:val="22"/>
        </w:rPr>
        <w:t>shall survive termination of this Guaranty.</w:t>
      </w:r>
    </w:p>
    <w:p>
      <w:pPr>
        <w:pStyle w:val="TextBody"/>
        <w:bidi w:val="0"/>
        <w:spacing w:lineRule="auto" w:line="240" w:before="0" w:after="240"/>
        <w:ind w:left="0" w:right="0" w:firstLine="720"/>
        <w:jc w:val="both"/>
        <w:rPr/>
      </w:pPr>
      <w:r>
        <w:rPr>
          <w:rFonts w:ascii="Times New Roman;serif" w:hAnsi="Times New Roman;serif"/>
          <w:b/>
          <w:color w:val="000000"/>
          <w:sz w:val="22"/>
        </w:rPr>
        <w:t>10.07</w:t>
      </w:r>
      <w:r>
        <w:rPr>
          <w:rFonts w:ascii="Times New Roman;serif" w:hAnsi="Times New Roman;serif"/>
          <w:b/>
          <w:color w:val="000000"/>
          <w:sz w:val="22"/>
          <w:u w:val="single"/>
        </w:rPr>
        <w:t>Stay of Acceleration</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acceleration of the time for payment of any of the Obligations and Additional Obligations is stayed, in connection with any case commenced by or against a Guarantor or any Borrower under any Debtor Relief Laws, or otherwise, all such amounts shall nonetheless be payable by each Guarantor, jointly and severally, immediately upon demand by the Lender Parties.</w:t>
      </w:r>
    </w:p>
    <w:p>
      <w:pPr>
        <w:pStyle w:val="TextBody"/>
        <w:bidi w:val="0"/>
        <w:spacing w:lineRule="auto" w:line="240" w:before="0" w:after="240"/>
        <w:ind w:left="0" w:right="0" w:firstLine="720"/>
        <w:jc w:val="both"/>
        <w:rPr/>
      </w:pPr>
      <w:r>
        <w:rPr>
          <w:rFonts w:ascii="Times New Roman;serif" w:hAnsi="Times New Roman;serif"/>
          <w:b/>
          <w:color w:val="000000"/>
          <w:sz w:val="22"/>
        </w:rPr>
        <w:t>10.08</w:t>
      </w:r>
      <w:r>
        <w:rPr>
          <w:rFonts w:ascii="Times New Roman;serif" w:hAnsi="Times New Roman;serif"/>
          <w:b/>
          <w:color w:val="000000"/>
          <w:sz w:val="22"/>
          <w:u w:val="single"/>
        </w:rPr>
        <w:t>Condition of Borrower</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Guarantor acknowledges and agrees that it has the sole responsibility for, and has adequate means of, obtaining from any Borrower and any other guarantor such information concerning the financial condition, business and operations of any Borrower and any such other guarantor as such Guarantor requires, and that none of the Lender Parties has any duty, and such Guarantor is not relying on the Lender Parties at any time, to disclose to it any information relating to the business, operations or financial condition of any Borrower or any other guarantor (each Guarantor waiving any duty on the part of the Lender Parties to disclose such information and any defense relating to the failure to provide the same).</w:t>
      </w:r>
    </w:p>
    <w:p>
      <w:pPr>
        <w:pStyle w:val="TextBody"/>
        <w:bidi w:val="0"/>
        <w:spacing w:lineRule="auto" w:line="240" w:before="0" w:after="240"/>
        <w:ind w:left="0" w:right="0" w:firstLine="720"/>
        <w:jc w:val="both"/>
        <w:rPr/>
      </w:pPr>
      <w:r>
        <w:rPr>
          <w:rFonts w:ascii="Times New Roman;serif" w:hAnsi="Times New Roman;serif"/>
          <w:b/>
          <w:color w:val="000000"/>
          <w:sz w:val="22"/>
        </w:rPr>
        <w:t>10.09</w:t>
      </w:r>
      <w:r>
        <w:rPr>
          <w:rFonts w:ascii="Times New Roman;serif" w:hAnsi="Times New Roman;serif"/>
          <w:b/>
          <w:color w:val="000000"/>
          <w:sz w:val="22"/>
          <w:u w:val="single"/>
        </w:rPr>
        <w:t>Appointment of Company</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of the Loan Parties hereby appoints the Company to act as its agent and representative for all purposes of this Agreement, the other Loan Documents and all other documents and electronic platforms entered into in connection herewith and agrees that (a) the Company may execute such documents and provide such authorizations on behalf of such Loan Parties as the Company deems appropriate in its sole discretion and each Loan Party shall be obligated by all of the terms of any such document and/or authorization executed on its behalf, (b) any notice or communication delivered by the Administrative Agent, L/C Issuer or a Lender to the Company shall be deemed delivered to each Loan Party and (c) the Administrative Agent, L/C Issuer or the Lenders may accept, and be permitted to rely on, any document, authorization, instrument or agreement executed by the Company on behalf of each of the Loan Parties.</w:t>
      </w:r>
    </w:p>
    <w:p>
      <w:pPr>
        <w:pStyle w:val="TextBody"/>
        <w:bidi w:val="0"/>
        <w:spacing w:lineRule="auto" w:line="240" w:before="0" w:after="240"/>
        <w:ind w:left="0" w:right="0" w:firstLine="720"/>
        <w:jc w:val="both"/>
        <w:rPr/>
      </w:pPr>
      <w:r>
        <w:rPr>
          <w:rFonts w:ascii="Times New Roman;serif" w:hAnsi="Times New Roman;serif"/>
          <w:b/>
          <w:color w:val="000000"/>
          <w:sz w:val="22"/>
        </w:rPr>
        <w:t>10.10</w:t>
      </w:r>
      <w:r>
        <w:rPr>
          <w:rFonts w:ascii="Times New Roman;serif" w:hAnsi="Times New Roman;serif"/>
          <w:b/>
          <w:color w:val="000000"/>
          <w:sz w:val="22"/>
          <w:u w:val="single"/>
        </w:rPr>
        <w:t>Right of Contribution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Guarantors agree among themselves that, in connection with payments made hereunder, each Guarantor shall have contribution rights against the other Guarantors as permitted under Applicable Law.</w:t>
      </w:r>
    </w:p>
    <w:p>
      <w:pPr>
        <w:pStyle w:val="TextBody"/>
        <w:bidi w:val="0"/>
        <w:spacing w:lineRule="auto" w:line="240" w:before="0" w:after="240"/>
        <w:ind w:left="0" w:right="0" w:firstLine="720"/>
        <w:jc w:val="both"/>
        <w:rPr/>
      </w:pPr>
      <w:r>
        <w:rPr>
          <w:rFonts w:ascii="Times New Roman;serif" w:hAnsi="Times New Roman;serif"/>
          <w:b/>
          <w:color w:val="000000"/>
          <w:sz w:val="22"/>
        </w:rPr>
        <w:t>10.11</w:t>
      </w:r>
      <w:r>
        <w:rPr>
          <w:rFonts w:ascii="Times New Roman;serif" w:hAnsi="Times New Roman;serif"/>
          <w:b/>
          <w:color w:val="000000"/>
          <w:sz w:val="22"/>
          <w:u w:val="single"/>
        </w:rPr>
        <w:t>Keepwell</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Each Loan Party that is a Qualified ECP Guarantor at the time the Guaranty or the grant of a Lien under the Loan Documents, in each case, by any Specified Loan Party becomes effective with respect to any Swap Obligation, hereby jointly and severally, absolutely, unconditionally and irrevocably undertakes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85445"/>
                <wp:effectExtent l="0" t="0" r="0" b="0"/>
                <wp:wrapNone/>
                <wp:docPr id="169" name="Frame1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Times New Roman;serif" w:hAnsi="Times New Roman;serif"/>
          <w:b w:val="false"/>
          <w:color w:val="000000"/>
          <w:sz w:val="22"/>
          <w:u w:val="single"/>
        </w:rPr>
        <w:t>Article X</w:t>
      </w:r>
      <w:r>
        <w:rPr>
          <w:color w:val="000000"/>
        </w:rPr>
        <w:t xml:space="preserve"> </w:t>
      </w:r>
      <w:r>
        <w:rPr>
          <w:rFonts w:ascii="Times New Roman;serif" w:hAnsi="Times New Roman;serif"/>
          <w:b w:val="false"/>
          <w:color w:val="000000"/>
          <w:sz w:val="22"/>
        </w:rPr>
        <w:t xml:space="preserve">voidable under Applicable Law relating to fraudulent conveyance or fraudulent transfer, and not for any greater amount). The obligations and undertakings of each Qualified ECP Guarantor under this </w:t>
      </w:r>
      <w:r>
        <w:rPr>
          <w:rFonts w:ascii="Times New Roman;serif" w:hAnsi="Times New Roman;serif"/>
          <w:b w:val="false"/>
          <w:color w:val="000000"/>
          <w:sz w:val="22"/>
          <w:u w:val="single"/>
        </w:rPr>
        <w:t>Section 10.11</w:t>
      </w:r>
      <w:r>
        <w:rPr>
          <w:color w:val="000000"/>
        </w:rPr>
        <w:t xml:space="preserve"> </w:t>
      </w:r>
      <w:r>
        <w:rPr>
          <w:rFonts w:ascii="Times New Roman;serif" w:hAnsi="Times New Roman;serif"/>
          <w:b w:val="false"/>
          <w:color w:val="000000"/>
          <w:sz w:val="22"/>
        </w:rPr>
        <w:t xml:space="preserve">shall remain in full force and effect until the Obligations and Additional Obligations have been indefeasibly paid and performed in full. Each Loan Party intends this </w:t>
      </w:r>
      <w:r>
        <w:rPr>
          <w:rFonts w:ascii="Times New Roman;serif" w:hAnsi="Times New Roman;serif"/>
          <w:b w:val="false"/>
          <w:color w:val="000000"/>
          <w:sz w:val="22"/>
          <w:u w:val="single"/>
        </w:rPr>
        <w:t>Section 10.11</w:t>
      </w:r>
      <w:r>
        <w:rPr>
          <w:color w:val="000000"/>
        </w:rPr>
        <w:t xml:space="preserve"> </w:t>
      </w:r>
      <w:r>
        <w:rPr>
          <w:rFonts w:ascii="Times New Roman;serif" w:hAnsi="Times New Roman;serif"/>
          <w:b w:val="false"/>
          <w:color w:val="000000"/>
          <w:sz w:val="22"/>
        </w:rPr>
        <w:t xml:space="preserve">to constitute, and this </w:t>
      </w:r>
      <w:r>
        <w:rPr>
          <w:rFonts w:ascii="Times New Roman;serif" w:hAnsi="Times New Roman;serif"/>
          <w:b w:val="false"/>
          <w:color w:val="000000"/>
          <w:sz w:val="22"/>
          <w:u w:val="single"/>
        </w:rPr>
        <w:t>Section 10.11</w:t>
      </w:r>
      <w:r>
        <w:rPr>
          <w:color w:val="000000"/>
        </w:rPr>
        <w:t xml:space="preserve"> </w:t>
      </w:r>
      <w:r>
        <w:rPr>
          <w:rFonts w:ascii="Times New Roman;serif" w:hAnsi="Times New Roman;serif"/>
          <w:b w:val="false"/>
          <w:color w:val="000000"/>
          <w:sz w:val="22"/>
        </w:rPr>
        <w:t>shall be deemed to constitute, a guarantee of the obligations of, and a “keepwell, support, or other agreement” for the benefit of, each Specified Loan Party for all purposes of the Commodity Exchange Act.</w:t>
      </w:r>
    </w:p>
    <w:p>
      <w:pPr>
        <w:pStyle w:val="TextBody"/>
        <w:bidi w:val="0"/>
        <w:spacing w:lineRule="auto" w:line="240" w:before="0" w:after="240"/>
        <w:jc w:val="center"/>
        <w:rPr/>
      </w:pPr>
      <w:r>
        <w:rPr>
          <w:rFonts w:ascii="Times New Roman;serif" w:hAnsi="Times New Roman;serif"/>
          <w:b/>
          <w:color w:val="000000"/>
          <w:sz w:val="22"/>
        </w:rPr>
        <w:t>Article XI</w:t>
      </w:r>
      <w:r>
        <w:rPr>
          <w:rFonts w:ascii="Times New Roman;serif" w:hAnsi="Times New Roman;serif"/>
          <w:b/>
          <w:color w:val="000000"/>
          <w:sz w:val="22"/>
        </w:rPr>
        <w:br/>
        <w:br/>
        <w:t>MISCELLANEOUS</w:t>
      </w:r>
    </w:p>
    <w:p>
      <w:pPr>
        <w:pStyle w:val="TextBody"/>
        <w:bidi w:val="0"/>
        <w:spacing w:lineRule="auto" w:line="240" w:before="0" w:after="240"/>
        <w:ind w:left="0" w:right="0" w:firstLine="720"/>
        <w:jc w:val="both"/>
        <w:rPr/>
      </w:pPr>
      <w:r>
        <w:rPr>
          <w:rFonts w:ascii="Times New Roman;serif" w:hAnsi="Times New Roman;serif"/>
          <w:b/>
          <w:color w:val="000000"/>
          <w:sz w:val="22"/>
        </w:rPr>
        <w:t>11.01</w:t>
      </w:r>
      <w:r>
        <w:rPr>
          <w:rFonts w:ascii="Times New Roman;serif" w:hAnsi="Times New Roman;serif"/>
          <w:b/>
          <w:color w:val="000000"/>
          <w:sz w:val="22"/>
          <w:u w:val="single"/>
        </w:rPr>
        <w:t>Amendments, Etc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(a)Subject to </w:t>
      </w:r>
      <w:r>
        <w:rPr>
          <w:rFonts w:ascii="Times New Roman;serif" w:hAnsi="Times New Roman;serif"/>
          <w:b w:val="false"/>
          <w:color w:val="000000"/>
          <w:sz w:val="22"/>
          <w:u w:val="single"/>
        </w:rPr>
        <w:t>Section 2.19,</w:t>
      </w:r>
      <w:r>
        <w:rPr>
          <w:color w:val="000000"/>
        </w:rPr>
        <w:t xml:space="preserve"> </w:t>
      </w:r>
      <w:r>
        <w:rPr>
          <w:rFonts w:ascii="Times New Roman;serif" w:hAnsi="Times New Roman;serif"/>
          <w:b w:val="false"/>
          <w:color w:val="000000"/>
          <w:sz w:val="22"/>
          <w:u w:val="single"/>
        </w:rPr>
        <w:t>Section 3.03(c</w:t>
      </w:r>
      <w:r>
        <w:rPr>
          <w:rFonts w:ascii="Times New Roman;serif" w:hAnsi="Times New Roman;serif"/>
          <w:b w:val="false"/>
          <w:color w:val="000000"/>
          <w:sz w:val="22"/>
        </w:rPr>
        <w:t xml:space="preserve">), and the last paragraph of this </w:t>
      </w:r>
      <w:r>
        <w:rPr>
          <w:rFonts w:ascii="Times New Roman;serif" w:hAnsi="Times New Roman;serif"/>
          <w:b w:val="false"/>
          <w:color w:val="000000"/>
          <w:sz w:val="22"/>
          <w:u w:val="single"/>
        </w:rPr>
        <w:t>Section 11.01</w:t>
      </w:r>
      <w:r>
        <w:rPr>
          <w:rFonts w:ascii="Times New Roman;serif" w:hAnsi="Times New Roman;serif"/>
          <w:b w:val="false"/>
          <w:color w:val="000000"/>
          <w:sz w:val="22"/>
        </w:rPr>
        <w:t xml:space="preserve">, no amendment or waiver of any provision of this Agreement or any other Loan Document, and no consent to any departure by the Borrowers or any other Loan Party therefrom, shall be effective unless in writing signed by the Required Lenders (or by the Administrative Agent with the consent of the Required Lenders) and the Borrowers or the applicable Loan Party, as the case may be, and acknowledged by the Administrative Agent, and each such waiver or consent shall be effective only in the specific instance and for the specific purpose for which given;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no such amendment, waiver or consent shall:</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(i)waive any condition set forth in </w:t>
      </w:r>
      <w:r>
        <w:rPr>
          <w:rFonts w:ascii="Times New Roman;serif" w:hAnsi="Times New Roman;serif"/>
          <w:b w:val="false"/>
          <w:color w:val="000000"/>
          <w:sz w:val="22"/>
          <w:u w:val="single"/>
        </w:rPr>
        <w:t>Section 4.01</w:t>
      </w:r>
      <w:r>
        <w:rPr>
          <w:rFonts w:ascii="Times New Roman;serif" w:hAnsi="Times New Roman;serif"/>
          <w:b w:val="false"/>
          <w:color w:val="000000"/>
          <w:sz w:val="22"/>
        </w:rPr>
        <w:t xml:space="preserve">, or, in the case of the initial Credit Extension, </w:t>
      </w:r>
      <w:r>
        <w:rPr>
          <w:rFonts w:ascii="Times New Roman;serif" w:hAnsi="Times New Roman;serif"/>
          <w:b w:val="false"/>
          <w:color w:val="000000"/>
          <w:sz w:val="22"/>
          <w:u w:val="single"/>
        </w:rPr>
        <w:t>Section 4.02</w:t>
      </w:r>
      <w:r>
        <w:rPr>
          <w:rFonts w:ascii="Times New Roman;serif" w:hAnsi="Times New Roman;serif"/>
          <w:b w:val="false"/>
          <w:color w:val="000000"/>
          <w:sz w:val="22"/>
        </w:rPr>
        <w:t>, without the written consent of each Lender; or</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(ii)without limiting the generality of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above, waive any condition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as to any Credit Extension under a particular Facility without the written consent of the Required Revolving Lenders or the Required Term Lenders, as the case may be;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(iii)extend or increase the Commitment of any Lender (or reinstate any Commitment terminated pursuant to </w:t>
      </w:r>
      <w:r>
        <w:rPr>
          <w:rFonts w:ascii="Times New Roman;serif" w:hAnsi="Times New Roman;serif"/>
          <w:b w:val="false"/>
          <w:color w:val="000000"/>
          <w:sz w:val="22"/>
          <w:u w:val="single"/>
        </w:rPr>
        <w:t>Section 8.02</w:t>
      </w:r>
      <w:r>
        <w:rPr>
          <w:rFonts w:ascii="Times New Roman;serif" w:hAnsi="Times New Roman;serif"/>
          <w:b w:val="false"/>
          <w:color w:val="000000"/>
          <w:sz w:val="22"/>
        </w:rPr>
        <w:t xml:space="preserve">) without the written consent of such Lender (it being understood and agreed that a waiver of any condition precedent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or of any Default or a mandatory reduction in Commitments is not considered an extension or increase in Commitments of any Lender);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(iv)postpone any date fixed by this Agreement or any other Loan Document for any payment (excluding mandatory prepayments) of principal, interest, fees or other amounts due to the Lenders (or any of them) hereunder or under such other Loan Document without the written consent of each Lender entitled to such payment;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(v)reduce the principal of, or the rate of interest specified herein on, any Loan or L/C Borrowing, or (subject to </w:t>
      </w:r>
      <w:r>
        <w:rPr>
          <w:rFonts w:ascii="Times New Roman;serif" w:hAnsi="Times New Roman;serif"/>
          <w:b w:val="false"/>
          <w:color w:val="000000"/>
          <w:sz w:val="22"/>
          <w:u w:val="single"/>
        </w:rPr>
        <w:t>clause (D</w:t>
      </w:r>
      <w:r>
        <w:rPr>
          <w:rFonts w:ascii="Times New Roman;serif" w:hAnsi="Times New Roman;serif"/>
          <w:b w:val="false"/>
          <w:color w:val="000000"/>
          <w:sz w:val="22"/>
        </w:rPr>
        <w:t xml:space="preserve">) of the second proviso to this </w:t>
      </w:r>
      <w:r>
        <w:rPr>
          <w:rFonts w:ascii="Times New Roman;serif" w:hAnsi="Times New Roman;serif"/>
          <w:b w:val="false"/>
          <w:color w:val="000000"/>
          <w:sz w:val="22"/>
          <w:u w:val="single"/>
        </w:rPr>
        <w:t>Section 11.01</w:t>
      </w:r>
      <w:r>
        <w:rPr>
          <w:rFonts w:ascii="Times New Roman;serif" w:hAnsi="Times New Roman;serif"/>
          <w:b w:val="false"/>
          <w:color w:val="000000"/>
          <w:sz w:val="22"/>
        </w:rPr>
        <w:t xml:space="preserve">) any fees or other amounts payable hereunder or under any other Loan Document, or waive or excuse any such payment, without the written consent of each Lender entitled to such amount;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only the consent of the Required Lenders shall be necessary (i) to amend the definition of “Default Rate” or to waive any obligation of the Borrowers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 or</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85445"/>
                <wp:effectExtent l="0" t="0" r="0" b="0"/>
                <wp:wrapNone/>
                <wp:docPr id="170" name="Frame1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135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(vi)change (i) </w:t>
      </w:r>
      <w:r>
        <w:rPr>
          <w:rFonts w:ascii="Times New Roman;serif" w:hAnsi="Times New Roman;serif"/>
          <w:b w:val="false"/>
          <w:color w:val="000000"/>
          <w:sz w:val="22"/>
          <w:u w:val="single"/>
        </w:rPr>
        <w:t>Section 8.03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 xml:space="preserve">in a manner that would alter the pro rata sharing of payments required thereby without the written consent of each Lender or (ii) the order of application of any reduction in the Commitments or any prepayment of Loans among the Facilities from the application thereof set forth in the applicable provisions of Section 2.05(b) or 2.06(b), respectively, in any manner that materially and adversely affects the Lenders under a Facility without the written consent of the Required Revolving Lenders or the Required Term Lenders, as applicable or (iii) </w:t>
      </w:r>
      <w:r>
        <w:rPr>
          <w:rFonts w:ascii="Times New Roman;serif" w:hAnsi="Times New Roman;serif"/>
          <w:b w:val="false"/>
          <w:color w:val="000000"/>
          <w:sz w:val="22"/>
          <w:u w:val="single"/>
        </w:rPr>
        <w:t>Section 2.12(g</w:t>
      </w:r>
      <w:r>
        <w:rPr>
          <w:rFonts w:ascii="Times New Roman;serif" w:hAnsi="Times New Roman;serif"/>
          <w:b w:val="false"/>
          <w:color w:val="000000"/>
          <w:sz w:val="22"/>
        </w:rPr>
        <w:t xml:space="preserve">) in a manner that would alter the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application required thereby without the written consent of each Lender directly affected thereby; or </w:t>
      </w:r>
    </w:p>
    <w:p>
      <w:pPr>
        <w:pStyle w:val="TextBody"/>
        <w:bidi w:val="0"/>
        <w:spacing w:lineRule="auto" w:line="240" w:before="0" w:after="240"/>
        <w:ind w:left="0" w:right="0" w:firstLine="720"/>
        <w:jc w:val="both"/>
        <w:rPr/>
      </w:pPr>
      <w:r>
        <w:rPr>
          <w:rFonts w:ascii="Times New Roman;serif" w:hAnsi="Times New Roman;serif"/>
          <w:b w:val="false"/>
          <w:color w:val="000000"/>
          <w:sz w:val="22"/>
        </w:rPr>
        <w:t>(vii)subordinate, or have the effect of subordinating, the Obligations hereunder to any other Indebtedness or other obligation, without the written consent of each Lender; or</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(viii)change (i) any provision of this </w:t>
      </w:r>
      <w:r>
        <w:rPr>
          <w:rFonts w:ascii="Times New Roman;serif" w:hAnsi="Times New Roman;serif"/>
          <w:b w:val="false"/>
          <w:color w:val="000000"/>
          <w:sz w:val="22"/>
          <w:u w:val="single"/>
        </w:rPr>
        <w:t>Section 11.01</w:t>
      </w:r>
      <w:r>
        <w:rPr>
          <w:color w:val="000000"/>
        </w:rPr>
        <w:t xml:space="preserve"> </w:t>
      </w:r>
      <w:r>
        <w:rPr>
          <w:rFonts w:ascii="Times New Roman;serif" w:hAnsi="Times New Roman;serif"/>
          <w:b w:val="false"/>
          <w:color w:val="000000"/>
          <w:sz w:val="22"/>
        </w:rPr>
        <w:t xml:space="preserve">or the definition of “Required Lenders” or “Required Class Lenders” or any other provision of any Loan Document specifying the number or percentage of Lenders required to amend, waive or otherwise modify any rights hereunder or thereunder or make any determination or grant any consent hereunder, without the written consent of each Lender (other than the definitions specified in </w:t>
      </w:r>
      <w:r>
        <w:rPr>
          <w:rFonts w:ascii="Times New Roman;serif" w:hAnsi="Times New Roman;serif"/>
          <w:b w:val="false"/>
          <w:color w:val="000000"/>
          <w:sz w:val="22"/>
          <w:u w:val="single"/>
        </w:rPr>
        <w:t>clause (ii</w:t>
      </w:r>
      <w:r>
        <w:rPr>
          <w:rFonts w:ascii="Times New Roman;serif" w:hAnsi="Times New Roman;serif"/>
          <w:b w:val="false"/>
          <w:color w:val="000000"/>
          <w:sz w:val="22"/>
        </w:rPr>
        <w:t xml:space="preserve">) of this </w:t>
      </w:r>
      <w:r>
        <w:rPr>
          <w:rFonts w:ascii="Times New Roman;serif" w:hAnsi="Times New Roman;serif"/>
          <w:b w:val="false"/>
          <w:color w:val="000000"/>
          <w:sz w:val="22"/>
          <w:u w:val="single"/>
        </w:rPr>
        <w:t>clause (a)(vii</w:t>
      </w:r>
      <w:r>
        <w:rPr>
          <w:rFonts w:ascii="Times New Roman;serif" w:hAnsi="Times New Roman;serif"/>
          <w:b w:val="false"/>
          <w:color w:val="000000"/>
          <w:sz w:val="22"/>
        </w:rPr>
        <w:t>)), without the written consent of each Lender or (ii) the definitions of “Required Revolving Lenders” or “Required Term Lenders” as each relates to the related Facility (or the constituent definition therein relating to such Facility) without the written consent of each Lender under such Facility;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(ix)release any Guarantor, without the written consent of each Lender, except to the extent the release of any Subsidiary from the Guaranty is permitted pursuant to </w:t>
      </w:r>
      <w:r>
        <w:rPr>
          <w:rFonts w:ascii="Times New Roman;serif" w:hAnsi="Times New Roman;serif"/>
          <w:b w:val="false"/>
          <w:color w:val="000000"/>
          <w:sz w:val="22"/>
          <w:u w:val="single"/>
        </w:rPr>
        <w:t>Section 9.10</w:t>
      </w:r>
      <w:r>
        <w:rPr>
          <w:color w:val="000000"/>
        </w:rPr>
        <w:t xml:space="preserve"> </w:t>
      </w:r>
      <w:r>
        <w:rPr>
          <w:rFonts w:ascii="Times New Roman;serif" w:hAnsi="Times New Roman;serif"/>
          <w:b w:val="false"/>
          <w:color w:val="000000"/>
          <w:sz w:val="22"/>
        </w:rPr>
        <w:t>(in which case such release may be made by the Administrative Agent acting alone);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(x)release any Borrower or permit any Borrower to assign or transfer any of its rights or obligations under this Agreement or the other Loan Documents without the consent of each Lender;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(xi)impose any greater restriction on the ability of any Lender under a Facility to assign any of its rights or obligations hereunder without the written consent of the Required Revolving Lenders or the Required Term Lenders, as applicable;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(xii)directly and materially adversely affect the rights of Lenders holding Commitments or Loans of one Class differently from the rights of Lenders holding Commitments or Loans of any other Class without the written consent of the applicable Required Class Lenders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(xiii)amend </w:t>
      </w:r>
      <w:r>
        <w:rPr>
          <w:rFonts w:ascii="Times New Roman;serif" w:hAnsi="Times New Roman;serif"/>
          <w:b w:val="false"/>
          <w:color w:val="000000"/>
          <w:sz w:val="22"/>
          <w:u w:val="single"/>
        </w:rPr>
        <w:t>Section 1.09</w:t>
      </w:r>
      <w:r>
        <w:rPr>
          <w:color w:val="000000"/>
        </w:rPr>
        <w:t xml:space="preserve"> </w:t>
      </w:r>
      <w:r>
        <w:rPr>
          <w:rFonts w:ascii="Times New Roman;serif" w:hAnsi="Times New Roman;serif"/>
          <w:b w:val="false"/>
          <w:color w:val="000000"/>
          <w:sz w:val="22"/>
        </w:rPr>
        <w:t>or the definition of “Alternative Currency”, “Alternative Currency Daily Rate” or “Alternative Currency Term Rate” without the written consent of each Lender directly affected thereby;</w:t>
      </w:r>
    </w:p>
    <w:p>
      <w:pPr>
        <w:pStyle w:val="TextBody"/>
        <w:bidi w:val="0"/>
        <w:spacing w:lineRule="auto" w:line="288" w:before="0" w:after="240"/>
        <w:jc w:val="both"/>
        <w:rPr/>
      </w:pPr>
      <w:r>
        <w:rPr>
          <w:rFonts w:ascii="Times New Roman;serif" w:hAnsi="Times New Roman;serif"/>
          <w:b w:val="false"/>
          <w:color w:val="000000"/>
          <w:sz w:val="22"/>
        </w:rPr>
        <w:t xml:space="preserve">and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xml:space="preserve">, that (A) no amendment, waiver or consent shall, unless in writing and signed by the L/C Issuers in addition to the Lenders required above, affect the rights or duties of the L/C Issuers under this Agreement or any Issuer Document relating to any Letter of Credit issued or to be issued by it; (B) no amendment, waiver or consent shall, unless in writing and signed by the Swingline Lender in addition to the Lenders required above, affect the rights or duties of the Swingline Lender under this Agreement; (C) no amendment, waiver or consent shall, unless in writing and signed by the Administrative Agent in addition to the Lenders required above, affect the rights or duties of the Administrative Agent under this Agreement or any other Loan Document; (D) the Fee Letter may be amended, or rights or privileges thereunder waived,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85445"/>
                <wp:effectExtent l="0" t="0" r="0" b="0"/>
                <wp:wrapNone/>
                <wp:docPr id="171" name="Frame1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in a writing executed only by the parties thereto and (E) the term L/C Commitment may be amended pursuant to a fully executed (and delivered to the Administrative Agent) Notice of Additional L/C Issuer.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(b)Notwithstanding anything to the contrary herein, (i) no Defaulting Lender shall have any right to approve or disapprove any amendment, waiver or consent hereunder (and any amendment, waiver or consent which by its terms requires the consent of all Lenders or each affected Lender, or all Lenders or each affected Lender under a Facility, may be effected with the consent of the applicable Lenders other than Defaulting Lenders), except that (A) the Commitment of any Defaulting Lender may not be increased or extended without the consent of such Lender and (B) any waiver, amendment or modification requiring the consent of all Lenders or each affected Lender, or all Lenders or each affected Lender under a Facility, that by its terms affects any Defaulting Lender disproportionately adversely relative to other affected Lenders shall require the consent of such Defaulting Lender; (ii) each Lender is entitled to vote as such Lender sees fit on any bankruptcy reorganization plan that affects the Loans, and each Lender acknowledges that the provisions of Section 1126(c) of the Bankruptcy Code of the United States (or any equivalent section of other applicable Debtor Relief Law) supersedes the unanimous consent provisions set forth herein and (iii) the Required Lenders shall determine whether or not to allow a Loan Party to use cash collateral in the context of a bankruptcy, insolvency or restructuring proceeding and such determination shall be binding on all of the Lenders.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(c)Notwithstanding anything to the contrary herein, this Agreement may be amended and restated without the consent of any Lender (but with the consent of the Borrowers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(d)Notwithstanding any provision herein to the contrary, this Agreement may be amended with the written consent of the Administrative Agent, the L/C Issuers, the Company and the Lenders affected thereby to amend the definition of “Alternative Currency”, “Alternative Currency Daily Rate” or “Alternative Currency Term Rate” or </w:t>
      </w:r>
      <w:r>
        <w:rPr>
          <w:rFonts w:ascii="Times New Roman;serif" w:hAnsi="Times New Roman;serif"/>
          <w:b w:val="false"/>
          <w:color w:val="000000"/>
          <w:sz w:val="22"/>
          <w:u w:val="single"/>
        </w:rPr>
        <w:t>Section 1.09</w:t>
      </w:r>
      <w:r>
        <w:rPr>
          <w:color w:val="000000"/>
        </w:rPr>
        <w:t xml:space="preserve"> </w:t>
      </w:r>
      <w:r>
        <w:rPr>
          <w:rFonts w:ascii="Times New Roman;serif" w:hAnsi="Times New Roman;serif"/>
          <w:b w:val="false"/>
          <w:color w:val="000000"/>
          <w:sz w:val="22"/>
        </w:rPr>
        <w:t xml:space="preserve">solely to add additional currency options and the applicable interest rate with respect thereto, in each case solely to the extent permitted pursuant to </w:t>
      </w:r>
      <w:r>
        <w:rPr>
          <w:rFonts w:ascii="Times New Roman;serif" w:hAnsi="Times New Roman;serif"/>
          <w:b w:val="false"/>
          <w:color w:val="000000"/>
          <w:sz w:val="22"/>
          <w:u w:val="single"/>
        </w:rPr>
        <w:t>Section 1.09</w:t>
      </w:r>
      <w:r>
        <w:rPr>
          <w:rFonts w:ascii="Times New Roman;serif" w:hAnsi="Times New Roman;serif"/>
          <w:b w:val="false"/>
          <w:color w:val="000000"/>
          <w:sz w:val="22"/>
        </w:rPr>
        <w:t>. Notwithstanding any provision herein to the contrary, this Agreement may be amended with the written consent of the Administrative Agent, the L/C Issuers, the Company and the Required Lenders to amend the definition of “Seasonal Decrease Period”, “Seasonal Decrease Amount” or otherwise necessary to amend, modify or eliminate the Seasonal Decrease Period.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(e)Notwithstanding any provision herein to the contrary, if the Administrative Agent and the Company acting together identify any ambiguity, omission, mistake, typographical error or other defect in any provision of this Agreement or any other Loan Document (including the schedules and exhibits thereto), then the Administrative Agent and the Company shall be permitted to amend, modify or supplement such provision to cure such ambiguity, omission, mistake, typographical error or other defect, and such amendment shall become effective without any further action or consent of any other party to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11.02</w:t>
      </w:r>
      <w:r>
        <w:rPr>
          <w:rFonts w:ascii="Times New Roman;serif" w:hAnsi="Times New Roman;serif"/>
          <w:b/>
          <w:color w:val="000000"/>
          <w:sz w:val="22"/>
          <w:u w:val="single"/>
        </w:rPr>
        <w:t>Notices; Effectiveness; Electronic Communications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Notices Generally</w:t>
      </w:r>
      <w:r>
        <w:rPr>
          <w:rFonts w:ascii="Times New Roman;serif" w:hAnsi="Times New Roman;serif"/>
          <w:b w:val="false"/>
          <w:color w:val="000000"/>
          <w:sz w:val="22"/>
        </w:rPr>
        <w:t xml:space="preserve">. Except in the case of notices and other communications expressly permitted to be given by telephone (and except as provided in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below), all notices and other communications provided for herein shall be in writing and shall be delivered by hand or overnight courier service, mailed by certified or registered mail or sent by fax transmission or e-mail transmission as follows, and all notices and other communications expressly permitted hereunder to be given by telephone shall be made to the applicable telephone number,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85445"/>
                <wp:effectExtent l="0" t="0" r="0" b="0"/>
                <wp:wrapNone/>
                <wp:docPr id="172" name="Frame1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137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(i)if to the Borrowers or any other Loan Party, the Administrative Agent, any L/C Issuer or the Swingline Lender, to the address, fax number, e-mail address or telephone number specified for such Person on </w:t>
      </w:r>
      <w:r>
        <w:rPr>
          <w:rFonts w:ascii="Times New Roman;serif" w:hAnsi="Times New Roman;serif"/>
          <w:b w:val="false"/>
          <w:color w:val="000000"/>
          <w:sz w:val="22"/>
          <w:u w:val="single"/>
        </w:rPr>
        <w:t>Schedule 1.01(a</w:t>
      </w:r>
      <w:r>
        <w:rPr>
          <w:rFonts w:ascii="Times New Roman;serif" w:hAnsi="Times New Roman;serif"/>
          <w:b w:val="false"/>
          <w:color w:val="000000"/>
          <w:sz w:val="22"/>
        </w:rPr>
        <w:t xml:space="preserve">); provided that, except as may be expressly set forth herein: (A) any requirement under this Agreement to provide notice to the Borrowers shall be deemed satisfied by providing notice to the Company at the address set forth on </w:t>
      </w:r>
      <w:r>
        <w:rPr>
          <w:rFonts w:ascii="Times New Roman;serif" w:hAnsi="Times New Roman;serif"/>
          <w:b w:val="false"/>
          <w:color w:val="000000"/>
          <w:sz w:val="22"/>
          <w:u w:val="single"/>
        </w:rPr>
        <w:t>Schedule 1.01(a)</w:t>
      </w:r>
      <w:r>
        <w:rPr>
          <w:color w:val="000000"/>
        </w:rPr>
        <w:t xml:space="preserve"> </w:t>
      </w:r>
      <w:r>
        <w:rPr>
          <w:rFonts w:ascii="Times New Roman;serif" w:hAnsi="Times New Roman;serif"/>
          <w:b w:val="false"/>
          <w:color w:val="000000"/>
          <w:sz w:val="22"/>
        </w:rPr>
        <w:t>and (B) any requirement that the Borrowers provide notice to any other party shall be deemed satisfied if the Company provides such notice;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(ii)if to any other Lender,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serif" w:hAnsi="Times New Roman;serif"/>
          <w:b w:val="false"/>
          <w:color w:val="000000"/>
          <w:sz w:val="22"/>
          <w:u w:val="single"/>
        </w:rPr>
        <w:t>clause (b</w:t>
      </w:r>
      <w:r>
        <w:rPr>
          <w:rFonts w:ascii="Times New Roman;serif" w:hAnsi="Times New Roman;serif"/>
          <w:b w:val="false"/>
          <w:color w:val="000000"/>
          <w:sz w:val="22"/>
        </w:rPr>
        <w:t xml:space="preserve">) below shall be effective as provided in such </w:t>
      </w:r>
      <w:r>
        <w:rPr>
          <w:rFonts w:ascii="Times New Roman;serif" w:hAnsi="Times New Roman;serif"/>
          <w:b w:val="false"/>
          <w:color w:val="000000"/>
          <w:sz w:val="22"/>
          <w:u w:val="single"/>
        </w:rPr>
        <w:t>clause (b</w:t>
      </w:r>
      <w:r>
        <w:rPr>
          <w:rFonts w:ascii="Times New Roman;serif" w:hAnsi="Times New Roman;serif"/>
          <w:b w:val="false"/>
          <w:color w:val="000000"/>
          <w:sz w:val="22"/>
        </w:rPr>
        <w:t>).</w:t>
      </w:r>
    </w:p>
    <w:p>
      <w:pPr>
        <w:pStyle w:val="TextBody"/>
        <w:bidi w:val="0"/>
        <w:spacing w:lineRule="auto" w:line="288" w:before="0" w:after="0"/>
        <w:ind w:left="0" w:right="0" w:firstLine="720"/>
        <w:jc w:val="both"/>
        <w:rPr/>
      </w:pPr>
      <w:r>
        <w:rPr>
          <w:rFonts w:ascii="Times New Roman;serif" w:hAnsi="Times New Roman;serif"/>
          <w:b w:val="false"/>
          <w:color w:val="000000"/>
          <w:sz w:val="22"/>
        </w:rPr>
        <w:t>This Agreement was prepared by:</w:t>
      </w:r>
      <w:r>
        <w:rPr>
          <w:color w:val="000000"/>
        </w:rPr>
        <w:t xml:space="preserve">     </w:t>
      </w:r>
      <w:r>
        <w:rPr>
          <w:rFonts w:ascii="Times New Roman;serif" w:hAnsi="Times New Roman;serif"/>
          <w:b w:val="false"/>
          <w:color w:val="000000"/>
          <w:sz w:val="22"/>
        </w:rPr>
        <w:t>Goulston &amp; Storrs, P.C.</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730 Third Avenue, 12th Floor</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New York, NY 10017</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Attention:     Philip A. Herman, Esq.</w:t>
        <w:br/>
        <w:t>            Jesse I. Rubinstein, Esq.</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(b)Electronic Communications.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(i)Notices and other communications to the Administrative Agent, the Lenders, the Swingline Lender and the L/C Issuers hereunder may be delivered or furnished by electronic communication (including e-mail, FPML messaging, and Internet or intranet websites) pursuant to an electronic communications agreement (or such other procedures approved by the Administrative Agent in its sole discretion);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foregoing shall not apply to notices to any Lender, the Swingline Lender or any L/C Issuer pursuant to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 xml:space="preserve">if such Lender, the Swingline Lender or such L/C Issuer, as applicable, has notified the Administrative Agent that it is incapable of receiving notices under such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 xml:space="preserve">by electronic communication. The Administrative Agent, the Swingline Lender, any L/C Issuer or the Borrowers may each, in its discretion, agree to accept notices and other communications to it hereunder by electronic communications pursuant to procedures approved by it,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approval of such procedures may be limited to particular notices or communications.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(ii)Unless the Administrative Agent otherwise prescribes, (A) notices and other communications sent to an e-mail address shall be deemed received upon the sender’s receipt of an acknowledgment from the intended recipient (such as by the “return receipt requested” function, as available, return e-mail or other written acknowledgement) and (B) notices and other communications posted to an Internet or intranet website shall be deemed received by the intended recipient upon the sender’s receipt of an acknowledgement from the intended recipient (such as by the “return receipt requested” function, as available, return e-mail address or other written acknowledgement) indicating that such notice or communication is available and identifying the website address therefor;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for both </w:t>
      </w:r>
      <w:r>
        <w:rPr>
          <w:rFonts w:ascii="Times New Roman;serif" w:hAnsi="Times New Roman;serif"/>
          <w:b w:val="false"/>
          <w:color w:val="000000"/>
          <w:sz w:val="22"/>
          <w:u w:val="single"/>
        </w:rPr>
        <w:t>clauses (A</w:t>
      </w:r>
      <w:r>
        <w:rPr>
          <w:rFonts w:ascii="Times New Roman;serif" w:hAnsi="Times New Roman;serif"/>
          <w:b w:val="false"/>
          <w:color w:val="000000"/>
          <w:sz w:val="22"/>
        </w:rPr>
        <w:t>) and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if such notice or other communication is not sent during the normal business hours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85445"/>
                <wp:effectExtent l="0" t="0" r="0" b="0"/>
                <wp:wrapNone/>
                <wp:docPr id="173" name="Frame1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138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recipient, such notice, email or communication shall be deemed to have been sent at the opening of business on the next Business Day for the recipient.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The Platform</w:t>
      </w:r>
      <w:r>
        <w:rPr>
          <w:rFonts w:ascii="Times New Roman;serif" w:hAnsi="Times New Roman;serif"/>
          <w:b w:val="false"/>
          <w:color w:val="000000"/>
          <w:sz w:val="22"/>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serif" w:hAnsi="Times New Roman;serif"/>
          <w:b w:val="false"/>
          <w:i/>
          <w:color w:val="000000"/>
          <w:sz w:val="22"/>
          <w:u w:val="single"/>
        </w:rPr>
        <w:t>Agent Parties</w:t>
      </w:r>
      <w:r>
        <w:rPr>
          <w:color w:val="000000"/>
        </w:rPr>
        <w:t>”</w:t>
      </w:r>
      <w:r>
        <w:rPr>
          <w:rFonts w:ascii="Times New Roman;serif" w:hAnsi="Times New Roman;serif"/>
          <w:b w:val="false"/>
          <w:color w:val="000000"/>
          <w:sz w:val="22"/>
        </w:rPr>
        <w:t>) have any liability to the Borrowers, any Lender, any L/C Issuer or any other Person for losses, claims, damages, liabilities or expenses of any kind (whether in tort, contract or otherwise) arising out of any Borrower’s, any Loan Party’s or the Administrative Agent’s transmission of Borrower Materials or notices through the Platform, any other electronic platform or electronic messaging service, or through the Internet.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Change of Address, Etc</w:t>
      </w:r>
      <w:r>
        <w:rPr>
          <w:rFonts w:ascii="Times New Roman;serif" w:hAnsi="Times New Roman;serif"/>
          <w:b w:val="false"/>
          <w:color w:val="000000"/>
          <w:sz w:val="22"/>
        </w:rPr>
        <w:t>. Each of the Borrowers, the Administrative Agent, each L/C Issuer and the Swingline Lender may change its address, fax number or telephone number or e-mail address for notices and other communications hereunder by notice to the other parties hereto. Each other Lender may change its address, fax number or telephone number or e-mail address for notices and other communications hereunder by notice to the Borrowers, the Administrative Agent, each L/C Issuer and the Swingline Lender. In addition, each Lender agrees to notify the Administrative Agent from time to time to ensure that the Administrative Agent has on record (i) an effective address, contact name, telephone number, fax number and e-mail address to which notices and other communications may be sent and (ii) accurate wire instructions for such Lender. Furthermore, each Public Lender agrees to cause at least one (1)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and Canadian provincial and territorial securities Laws, to make reference to Borrower Materials that are not made available through the “Public Side Information” portion of the Platform and that may contain material non-public information with respect to the Borrowers or their securities for purposes of United States federal or state and Canadian provincial and territorial securities laws.</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Reliance by Administrative Agent, L/C Issuers and Lenders</w:t>
      </w:r>
      <w:r>
        <w:rPr>
          <w:rFonts w:ascii="Times New Roman;serif" w:hAnsi="Times New Roman;serif"/>
          <w:b w:val="false"/>
          <w:color w:val="000000"/>
          <w:sz w:val="22"/>
        </w:rPr>
        <w:t>. The Administrative Agent, the L/C Issuers and the Lenders shall be entitled to rely and act upon any notices (including, without limitation, telephonic or electronic notices, Loan Notices, Letter of Credit Applications, Notice of Loan Prepayment and Swingline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each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pStyle w:val="TextBody"/>
        <w:bidi w:val="0"/>
        <w:spacing w:lineRule="auto" w:line="240" w:before="0" w:after="240"/>
        <w:ind w:left="0" w:right="0" w:firstLine="720"/>
        <w:jc w:val="both"/>
        <w:rPr/>
      </w:pPr>
      <w:r>
        <w:rPr>
          <w:rFonts w:ascii="Times New Roman;serif" w:hAnsi="Times New Roman;serif"/>
          <w:b/>
          <w:color w:val="000000"/>
          <w:sz w:val="22"/>
        </w:rPr>
        <w:t>11.03</w:t>
      </w:r>
      <w:r>
        <w:rPr>
          <w:rFonts w:ascii="Times New Roman;serif" w:hAnsi="Times New Roman;serif"/>
          <w:b/>
          <w:color w:val="000000"/>
          <w:sz w:val="22"/>
          <w:u w:val="single"/>
        </w:rPr>
        <w:t>No Waiver; Cumulative Remedies; Enforcement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85445"/>
                <wp:effectExtent l="0" t="0" r="0" b="0"/>
                <wp:wrapNone/>
                <wp:docPr id="174" name="Frame1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139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 xml:space="preserve">for the benefit of all the Lenders and the L/C Issuers;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the foregoing shall not prohibit (a) the Administrative Agent from exercising on its own behalf the rights and remedies that inure to its benefit (solely in its capacity as Administrative Agent) hereunder and under the other Loan Documents, (b) any L/C Issuer or the Swingline Lender from exercising the rights and remedies that inure to its benefit (solely in its capacity as an L/C Issuer or Swingline Lender, as the case may be) hereunder and under the other Loan Documents, (c) any Lender from exercising setoff rights in accordance with </w:t>
      </w:r>
      <w:r>
        <w:rPr>
          <w:rFonts w:ascii="Times New Roman;serif" w:hAnsi="Times New Roman;serif"/>
          <w:b w:val="false"/>
          <w:color w:val="000000"/>
          <w:sz w:val="22"/>
          <w:u w:val="single"/>
        </w:rPr>
        <w:t>Section 11.08</w:t>
      </w:r>
      <w:r>
        <w:rPr>
          <w:color w:val="000000"/>
        </w:rPr>
        <w:t xml:space="preserve"> </w:t>
      </w:r>
      <w:r>
        <w:rPr>
          <w:rFonts w:ascii="Times New Roman;serif" w:hAnsi="Times New Roman;serif"/>
          <w:b w:val="false"/>
          <w:color w:val="000000"/>
          <w:sz w:val="22"/>
        </w:rPr>
        <w:t xml:space="preserve">(subject to the terms of </w:t>
      </w:r>
      <w:r>
        <w:rPr>
          <w:rFonts w:ascii="Times New Roman;serif" w:hAnsi="Times New Roman;serif"/>
          <w:b w:val="false"/>
          <w:color w:val="000000"/>
          <w:sz w:val="22"/>
          <w:u w:val="single"/>
        </w:rPr>
        <w:t>Section 2.13</w:t>
      </w:r>
      <w:r>
        <w:rPr>
          <w:rFonts w:ascii="Times New Roman;serif" w:hAnsi="Times New Roman;serif"/>
          <w:b w:val="false"/>
          <w:color w:val="000000"/>
          <w:sz w:val="22"/>
        </w:rPr>
        <w:t xml:space="preserve">), or (d) any Lender from filing proofs of claim or appearing and filing pleadings on its own behalf during the pendency of a proceeding relative to any Loan Party under any Debtor Relief Law; and </w:t>
      </w:r>
      <w:r>
        <w:rPr>
          <w:rFonts w:ascii="Times New Roman;serif" w:hAnsi="Times New Roman;serif"/>
          <w:b w:val="false"/>
          <w:i/>
          <w:color w:val="000000"/>
          <w:sz w:val="22"/>
        </w:rPr>
        <w:t>provided</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 xml:space="preserve">and (ii) in addition to the matters set forth in </w:t>
      </w:r>
      <w:r>
        <w:rPr>
          <w:rFonts w:ascii="Times New Roman;serif" w:hAnsi="Times New Roman;serif"/>
          <w:b w:val="false"/>
          <w:color w:val="000000"/>
          <w:sz w:val="22"/>
          <w:u w:val="single"/>
        </w:rPr>
        <w:t>clauses (b</w:t>
      </w:r>
      <w:r>
        <w:rPr>
          <w:rFonts w:ascii="Times New Roman;serif" w:hAnsi="Times New Roman;serif"/>
          <w:b w:val="false"/>
          <w:color w:val="000000"/>
          <w:sz w:val="22"/>
        </w:rPr>
        <w:t>), (</w:t>
      </w:r>
      <w:r>
        <w:rPr>
          <w:rFonts w:ascii="Times New Roman;serif" w:hAnsi="Times New Roman;serif"/>
          <w:b w:val="false"/>
          <w:color w:val="000000"/>
          <w:sz w:val="22"/>
          <w:u w:val="single"/>
        </w:rPr>
        <w:t>c</w:t>
      </w:r>
      <w:r>
        <w:rPr>
          <w:rFonts w:ascii="Times New Roman;serif" w:hAnsi="Times New Roman;serif"/>
          <w:b w:val="false"/>
          <w:color w:val="000000"/>
          <w:sz w:val="22"/>
        </w:rPr>
        <w:t>) and (</w:t>
      </w:r>
      <w:r>
        <w:rPr>
          <w:rFonts w:ascii="Times New Roman;serif" w:hAnsi="Times New Roman;serif"/>
          <w:b w:val="false"/>
          <w:color w:val="000000"/>
          <w:sz w:val="22"/>
          <w:u w:val="single"/>
        </w:rPr>
        <w:t>d</w:t>
      </w:r>
      <w:r>
        <w:rPr>
          <w:rFonts w:ascii="Times New Roman;serif" w:hAnsi="Times New Roman;serif"/>
          <w:b w:val="false"/>
          <w:color w:val="000000"/>
          <w:sz w:val="22"/>
        </w:rPr>
        <w:t xml:space="preserve">) of the preceding proviso and subject to </w:t>
      </w:r>
      <w:r>
        <w:rPr>
          <w:rFonts w:ascii="Times New Roman;serif" w:hAnsi="Times New Roman;serif"/>
          <w:b w:val="false"/>
          <w:color w:val="000000"/>
          <w:sz w:val="22"/>
          <w:u w:val="single"/>
        </w:rPr>
        <w:t>Section 2.13</w:t>
      </w:r>
      <w:r>
        <w:rPr>
          <w:rFonts w:ascii="Times New Roman;serif" w:hAnsi="Times New Roman;serif"/>
          <w:b w:val="false"/>
          <w:color w:val="000000"/>
          <w:sz w:val="22"/>
        </w:rPr>
        <w:t>, any Lender may, with the consent of the Required Lenders, enforce any rights and remedies available to it and as authorized by the Required Lenders.</w:t>
      </w:r>
    </w:p>
    <w:p>
      <w:pPr>
        <w:pStyle w:val="TextBody"/>
        <w:bidi w:val="0"/>
        <w:spacing w:lineRule="auto" w:line="240" w:before="0" w:after="240"/>
        <w:ind w:left="0" w:right="0" w:firstLine="720"/>
        <w:jc w:val="both"/>
        <w:rPr/>
      </w:pPr>
      <w:r>
        <w:rPr>
          <w:rFonts w:ascii="Times New Roman;serif" w:hAnsi="Times New Roman;serif"/>
          <w:b/>
          <w:color w:val="000000"/>
          <w:sz w:val="22"/>
        </w:rPr>
        <w:t>11.04</w:t>
      </w:r>
      <w:r>
        <w:rPr>
          <w:rFonts w:ascii="Times New Roman;serif" w:hAnsi="Times New Roman;serif"/>
          <w:b/>
          <w:color w:val="000000"/>
          <w:sz w:val="22"/>
          <w:u w:val="single"/>
        </w:rPr>
        <w:t>Expenses; Indemnity; Damage Waiver</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Costs and Expenses</w:t>
      </w:r>
      <w:r>
        <w:rPr>
          <w:rFonts w:ascii="Times New Roman;serif" w:hAnsi="Times New Roman;serif"/>
          <w:b w:val="false"/>
          <w:color w:val="000000"/>
          <w:sz w:val="22"/>
        </w:rPr>
        <w:t xml:space="preserve">. The Loan Parties shall pay (i) all reasonable and documented out-of-pocket expenses incurred by the Administrative Agent and its Affiliates (including, but not limited to, (A) the reasonable and documented out-of-pocket fees, charges and disbursements of counsel for the Administrative Agent and its Affiliates and (B) due diligence expenses),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L/C Issuers in connection with the issuance, amendment, extension, reinstatement or renewal of any Letter of Credit or any demand for payment thereunder and (iii) all out-of-pocket expenses incurred by the Administrative Agent, any Lender or any L/C Issuer (including the fees, charges and disbursements of any counsel for the Administrative Agent, any Lender or any L/C Issuer), in connection with the enforcement or protection of its rights (A) in connection with this Agreement and the other Loan Documents, including its rights under this </w:t>
      </w:r>
      <w:r>
        <w:rPr>
          <w:rFonts w:ascii="Times New Roman;serif" w:hAnsi="Times New Roman;serif"/>
          <w:b w:val="false"/>
          <w:color w:val="000000"/>
          <w:sz w:val="22"/>
          <w:u w:val="single"/>
        </w:rPr>
        <w:t>Section 11.04</w:t>
      </w:r>
      <w:r>
        <w:rPr>
          <w:rFonts w:ascii="Times New Roman;serif" w:hAnsi="Times New Roman;serif"/>
          <w:b w:val="false"/>
          <w:color w:val="000000"/>
          <w:sz w:val="22"/>
        </w:rPr>
        <w:t xml:space="preserve">, or (B) in connection with Loans made or Letters of Credit issued hereunder, including all such out-of-pocket expenses incurred during any workout, restructuring or negotiations in respect of such Loans or Letters of Credit;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absent a conflict of interest, the Loan Parties shall not be required to pay for more than one (1) counsel (and appropriate local and special counsel), in connection with the enforcement or protection of its rights in connection with this Agreement and the other Loan Documents, including its rights under this </w:t>
      </w:r>
      <w:r>
        <w:rPr>
          <w:rFonts w:ascii="Times New Roman;serif" w:hAnsi="Times New Roman;serif"/>
          <w:b w:val="false"/>
          <w:color w:val="000000"/>
          <w:sz w:val="22"/>
          <w:u w:val="single"/>
        </w:rPr>
        <w:t>Section 11.04</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Indemnification by the Loan Parties</w:t>
      </w:r>
      <w:r>
        <w:rPr>
          <w:rFonts w:ascii="Times New Roman;serif" w:hAnsi="Times New Roman;serif"/>
          <w:b w:val="false"/>
          <w:color w:val="000000"/>
          <w:sz w:val="22"/>
        </w:rPr>
        <w:t>. The Loan Parties shall indemnify the Administrative Agent (and any sub-agent thereof), each Lender and each L/C Issuer, and each Related Party of any of the foregoing Persons (each such Person being called an “</w:t>
      </w:r>
      <w:r>
        <w:rPr>
          <w:rFonts w:ascii="Times New Roman;serif" w:hAnsi="Times New Roman;serif"/>
          <w:b w:val="false"/>
          <w:i/>
          <w:color w:val="000000"/>
          <w:sz w:val="22"/>
          <w:u w:val="single"/>
        </w:rPr>
        <w:t>Indemnitee</w:t>
      </w:r>
      <w:r>
        <w:rPr>
          <w:color w:val="000000"/>
        </w:rPr>
        <w:t>”</w:t>
      </w:r>
      <w:r>
        <w:rPr>
          <w:rFonts w:ascii="Times New Roman;serif" w:hAnsi="Times New Roman;serif"/>
          <w:b w:val="false"/>
          <w:color w:val="000000"/>
          <w:sz w:val="22"/>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Person (including any Loan Party) arising out of, in connection with, or as a result of (i) the execution or delivery of this Agreement, any other Loan Document or any agreement or instrument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85445"/>
                <wp:effectExtent l="0" t="0" r="0" b="0"/>
                <wp:wrapNone/>
                <wp:docPr id="175" name="Frame1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140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contemplated hereby or thereby (including, without limitation, the Indemnitee’s reliance on any Communication executed using an Electronic Signature, or in the form of an Electronic Record),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leased or operated by a Loan Party or any of its Subsidiaries, or any Environmental Liability related in any way to a Loan Party or any of its Subsidiaries, or (iv) any actual or prospective claim, litigation, investigation or proceeding relating to any of the foregoing, whether based on contract, tort or any other theory, whether brought by a third party or by any Loan Party, and regardless of whether any Indemnitee is a party thereto, IN ALL CASES, WHETHER OR NOT CAUSED BY OR ARISING, IN WHOLE OR IN PART, OUT OF THE COMPARATIVE, CONTRIBUTORY OR SOLE NEGLIGENCE OF THE INDEMNITEE;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result from a claim brought by any Loan Party against an Indemnitee for a material breach of such Indemnitee’s obligations hereunder or under any other Loan Document, if such Loan Party has obtained a final and non-appealable judgment in its favor on such claim as determined by a court of competent jurisdiction or (z) result from a claim not involving an act or omission of the Loan Parties and that is brought by an Indemnitee against another Indemnitee (other than against the Arranger or the Administrative Agent in their capacities as such);</w:t>
      </w:r>
      <w:r>
        <w:rPr>
          <w:color w:val="000000"/>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Loan Parties shall be responsible for the fees, disbursements and charges of only one counsel and one local counsel in each relevant jurisdiction for all Indemnitees in connection with indemnification claims arising out of the same facts or circumstances and, in the case of an actual or potential conflict of interest, one additional counsel in each relevant jurisdiction to each group of affected Indemnitees similarly situated taken as a whole. Without limiting the provisions of </w:t>
      </w:r>
      <w:r>
        <w:rPr>
          <w:rFonts w:ascii="Times New Roman;serif" w:hAnsi="Times New Roman;serif"/>
          <w:b w:val="false"/>
          <w:color w:val="000000"/>
          <w:sz w:val="22"/>
          <w:u w:val="single"/>
        </w:rPr>
        <w:t>Section 3.01(c</w:t>
      </w:r>
      <w:r>
        <w:rPr>
          <w:rFonts w:ascii="Times New Roman;serif" w:hAnsi="Times New Roman;serif"/>
          <w:b w:val="false"/>
          <w:color w:val="000000"/>
          <w:sz w:val="22"/>
        </w:rPr>
        <w:t xml:space="preserve">), this </w:t>
      </w:r>
      <w:r>
        <w:rPr>
          <w:rFonts w:ascii="Times New Roman;serif" w:hAnsi="Times New Roman;serif"/>
          <w:b w:val="false"/>
          <w:color w:val="000000"/>
          <w:sz w:val="22"/>
          <w:u w:val="single"/>
        </w:rPr>
        <w:t>Section 11.04(b</w:t>
      </w:r>
      <w:r>
        <w:rPr>
          <w:rFonts w:ascii="Times New Roman;serif" w:hAnsi="Times New Roman;serif"/>
          <w:b w:val="false"/>
          <w:color w:val="000000"/>
          <w:sz w:val="22"/>
        </w:rPr>
        <w:t>) shall not apply with respect to Taxes other than any Taxes that represent losses, claims, damages, etc. arising from any non-Tax claim.</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Reimbursement by Lenders</w:t>
      </w:r>
      <w:r>
        <w:rPr>
          <w:rFonts w:ascii="Times New Roman;serif" w:hAnsi="Times New Roman;serif"/>
          <w:b w:val="false"/>
          <w:color w:val="000000"/>
          <w:sz w:val="22"/>
        </w:rPr>
        <w:t xml:space="preserve">. To the extent that the Loan Parties for any reason fail to indefeasibly pay any amount required under </w:t>
      </w:r>
      <w:r>
        <w:rPr>
          <w:rFonts w:ascii="Times New Roman;serif" w:hAnsi="Times New Roman;serif"/>
          <w:b w:val="false"/>
          <w:color w:val="000000"/>
          <w:sz w:val="22"/>
          <w:u w:val="single"/>
        </w:rPr>
        <w:t>clauses (a</w:t>
      </w:r>
      <w:r>
        <w:rPr>
          <w:rFonts w:ascii="Times New Roman;serif" w:hAnsi="Times New Roman;serif"/>
          <w:b w:val="false"/>
          <w:color w:val="000000"/>
          <w:sz w:val="22"/>
        </w:rPr>
        <w:t>) or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of this </w:t>
      </w:r>
      <w:r>
        <w:rPr>
          <w:rFonts w:ascii="Times New Roman;serif" w:hAnsi="Times New Roman;serif"/>
          <w:b w:val="false"/>
          <w:color w:val="000000"/>
          <w:sz w:val="22"/>
          <w:u w:val="single"/>
        </w:rPr>
        <w:t>Section 11.04</w:t>
      </w:r>
      <w:r>
        <w:rPr>
          <w:color w:val="000000"/>
        </w:rPr>
        <w:t xml:space="preserve"> </w:t>
      </w:r>
      <w:r>
        <w:rPr>
          <w:rFonts w:ascii="Times New Roman;serif" w:hAnsi="Times New Roman;serif"/>
          <w:b w:val="false"/>
          <w:color w:val="000000"/>
          <w:sz w:val="22"/>
        </w:rPr>
        <w:t xml:space="preserve">to be paid by it to the Administrative Agent (or any sub-agent thereof), any L/C Issuer, the Swingline Lender or any Related Party of any of the foregoing, each Lender severally agrees to pay to the Administrative Agent (or any such sub-agent), any L/C Issuer, the Swingline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serif" w:hAnsi="Times New Roman;serif"/>
          <w:b w:val="false"/>
          <w:i/>
          <w:color w:val="000000"/>
          <w:sz w:val="22"/>
        </w:rPr>
        <w:t>provided</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 xml:space="preserve">that the unreimbursed expense or indemnified loss, claim, damage, liability or related expense, as the case may be, was incurred by or asserted against the Administrative Agent (or any such sub-agent), such L/C Issuer or the Swingline Lender in its capacity as such, or against any Related Party of any of the foregoing acting for the Administrative Agent (or any such sub-agent), such L/C Issuer or the Swingline Lender in connection with such capacity. The obligations of the Lenders under this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 xml:space="preserve">are subject to the provisions of </w:t>
      </w:r>
      <w:r>
        <w:rPr>
          <w:rFonts w:ascii="Times New Roman;serif" w:hAnsi="Times New Roman;serif"/>
          <w:b w:val="false"/>
          <w:color w:val="000000"/>
          <w:sz w:val="22"/>
          <w:u w:val="single"/>
        </w:rPr>
        <w:t>Section 2.12(d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Waiver of Consequential Damages, Etc</w:t>
      </w:r>
      <w:r>
        <w:rPr>
          <w:rFonts w:ascii="Times New Roman;serif" w:hAnsi="Times New Roman;serif"/>
          <w:b w:val="false"/>
          <w:color w:val="000000"/>
          <w:sz w:val="22"/>
        </w:rPr>
        <w:t xml:space="preserve">. To the fullest extent permitted by Applicable Law, no Loan Party shall assert, and each Loan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85445"/>
                <wp:effectExtent l="0" t="0" r="0" b="0"/>
                <wp:wrapNone/>
                <wp:docPr id="176" name="Frame1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141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Document or any agreement or instrument contemplated hereby, the transactions contemplated hereby or thereby, any Loan or Letter of Credit or the use of the proceeds thereof. No Indemnitee referred to in </w:t>
      </w:r>
      <w:r>
        <w:rPr>
          <w:rFonts w:ascii="Times New Roman;serif" w:hAnsi="Times New Roman;serif"/>
          <w:b w:val="false"/>
          <w:color w:val="000000"/>
          <w:sz w:val="22"/>
          <w:u w:val="single"/>
        </w:rPr>
        <w:t>clause (b</w:t>
      </w:r>
      <w:r>
        <w:rPr>
          <w:rFonts w:ascii="Times New Roman;serif" w:hAnsi="Times New Roman;serif"/>
          <w:b w:val="false"/>
          <w:color w:val="000000"/>
          <w:sz w:val="22"/>
        </w:rPr>
        <w:t>)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Payments</w:t>
      </w:r>
      <w:r>
        <w:rPr>
          <w:rFonts w:ascii="Times New Roman;serif" w:hAnsi="Times New Roman;serif"/>
          <w:b w:val="false"/>
          <w:color w:val="000000"/>
          <w:sz w:val="22"/>
        </w:rPr>
        <w:t xml:space="preserve">. All amounts due under this </w:t>
      </w:r>
      <w:r>
        <w:rPr>
          <w:rFonts w:ascii="Times New Roman;serif" w:hAnsi="Times New Roman;serif"/>
          <w:b w:val="false"/>
          <w:color w:val="000000"/>
          <w:sz w:val="22"/>
          <w:u w:val="single"/>
        </w:rPr>
        <w:t>Section 11.04</w:t>
      </w:r>
      <w:r>
        <w:rPr>
          <w:color w:val="000000"/>
        </w:rPr>
        <w:t xml:space="preserve"> </w:t>
      </w:r>
      <w:r>
        <w:rPr>
          <w:rFonts w:ascii="Times New Roman;serif" w:hAnsi="Times New Roman;serif"/>
          <w:b w:val="false"/>
          <w:color w:val="000000"/>
          <w:sz w:val="22"/>
        </w:rPr>
        <w:t>shall be payable not later than ten (10) Business Days after demand therefor.</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The agreements in this </w:t>
      </w:r>
      <w:r>
        <w:rPr>
          <w:rFonts w:ascii="Times New Roman;serif" w:hAnsi="Times New Roman;serif"/>
          <w:b w:val="false"/>
          <w:color w:val="000000"/>
          <w:sz w:val="22"/>
          <w:u w:val="single"/>
        </w:rPr>
        <w:t>Section 11.04</w:t>
      </w:r>
      <w:r>
        <w:rPr>
          <w:color w:val="000000"/>
        </w:rPr>
        <w:t xml:space="preserve"> </w:t>
      </w:r>
      <w:r>
        <w:rPr>
          <w:rFonts w:ascii="Times New Roman;serif" w:hAnsi="Times New Roman;serif"/>
          <w:b w:val="false"/>
          <w:color w:val="000000"/>
          <w:sz w:val="22"/>
        </w:rPr>
        <w:t xml:space="preserve">and the indemnity provisions of </w:t>
      </w:r>
      <w:r>
        <w:rPr>
          <w:rFonts w:ascii="Times New Roman;serif" w:hAnsi="Times New Roman;serif"/>
          <w:b w:val="false"/>
          <w:color w:val="000000"/>
          <w:sz w:val="22"/>
          <w:u w:val="single"/>
        </w:rPr>
        <w:t>Section 11.02(e</w:t>
      </w:r>
      <w:r>
        <w:rPr>
          <w:rFonts w:ascii="Times New Roman;serif" w:hAnsi="Times New Roman;serif"/>
          <w:b w:val="false"/>
          <w:color w:val="000000"/>
          <w:sz w:val="22"/>
        </w:rPr>
        <w:t>) shall survive the resignation of the Administrative Agent, the L/C Issuers and the Swingline Lender, the replacement of any Lender, the termination of the Aggregate Commitments and the repayment, satisfaction or discharge of all the other Obligations.</w:t>
      </w:r>
    </w:p>
    <w:p>
      <w:pPr>
        <w:pStyle w:val="TextBody"/>
        <w:bidi w:val="0"/>
        <w:spacing w:lineRule="auto" w:line="240" w:before="0" w:after="240"/>
        <w:ind w:left="0" w:right="0" w:firstLine="720"/>
        <w:jc w:val="both"/>
        <w:rPr/>
      </w:pPr>
      <w:r>
        <w:rPr>
          <w:rFonts w:ascii="Times New Roman;serif" w:hAnsi="Times New Roman;serif"/>
          <w:b/>
          <w:color w:val="000000"/>
          <w:sz w:val="22"/>
        </w:rPr>
        <w:t>11.05</w:t>
      </w:r>
      <w:r>
        <w:rPr>
          <w:rFonts w:ascii="Times New Roman;serif" w:hAnsi="Times New Roman;serif"/>
          <w:b/>
          <w:color w:val="000000"/>
          <w:sz w:val="22"/>
          <w:u w:val="single"/>
        </w:rPr>
        <w:t>Payments Set Aside</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To the extent that any payment by or on behalf of any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 under </w:t>
      </w:r>
      <w:r>
        <w:rPr>
          <w:rFonts w:ascii="Times New Roman;serif" w:hAnsi="Times New Roman;serif"/>
          <w:b w:val="false"/>
          <w:color w:val="000000"/>
          <w:sz w:val="22"/>
          <w:u w:val="single"/>
        </w:rPr>
        <w:t>clause (b</w:t>
      </w:r>
      <w:r>
        <w:rPr>
          <w:rFonts w:ascii="Times New Roman;serif" w:hAnsi="Times New Roman;serif"/>
          <w:b w:val="false"/>
          <w:color w:val="000000"/>
          <w:sz w:val="22"/>
        </w:rPr>
        <w:t>) of the preceding sentence shall survive the payment in full of the Obligations and the termination of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11.06</w:t>
      </w:r>
      <w:r>
        <w:rPr>
          <w:rFonts w:ascii="Times New Roman;serif" w:hAnsi="Times New Roman;serif"/>
          <w:b/>
          <w:color w:val="000000"/>
          <w:sz w:val="22"/>
          <w:u w:val="single"/>
        </w:rPr>
        <w:t>Successors and Assigns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Successors and Assigns Generally</w:t>
      </w:r>
      <w:r>
        <w:rPr>
          <w:rFonts w:ascii="Times New Roman;serif" w:hAnsi="Times New Roman;serif"/>
          <w:b w:val="false"/>
          <w:color w:val="000000"/>
          <w:sz w:val="22"/>
        </w:rPr>
        <w:t xml:space="preserve">. The provisions of this Agreement and the other Loan Documents shall be binding upon and inure to the benefit of the parties hereto and thereto and their respective successors and assigns permitted hereby, except neither the Borrowers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serif" w:hAnsi="Times New Roman;serif"/>
          <w:b w:val="false"/>
          <w:color w:val="000000"/>
          <w:sz w:val="22"/>
          <w:u w:val="single"/>
        </w:rPr>
        <w:t>Section 11.06(b</w:t>
      </w:r>
      <w:r>
        <w:rPr>
          <w:rFonts w:ascii="Times New Roman;serif" w:hAnsi="Times New Roman;serif"/>
          <w:b w:val="false"/>
          <w:color w:val="000000"/>
          <w:sz w:val="22"/>
        </w:rPr>
        <w:t xml:space="preserve">), (ii) by way of participation in accordance with the provisions of </w:t>
      </w:r>
      <w:r>
        <w:rPr>
          <w:rFonts w:ascii="Times New Roman;serif" w:hAnsi="Times New Roman;serif"/>
          <w:b w:val="false"/>
          <w:color w:val="000000"/>
          <w:sz w:val="22"/>
          <w:u w:val="single"/>
        </w:rPr>
        <w:t>Section 11.06(d</w:t>
      </w:r>
      <w:r>
        <w:rPr>
          <w:rFonts w:ascii="Times New Roman;serif" w:hAnsi="Times New Roman;serif"/>
          <w:b w:val="false"/>
          <w:color w:val="000000"/>
          <w:sz w:val="22"/>
        </w:rPr>
        <w:t xml:space="preserve">), or (iii) by way of pledge or assignment of a security interest subject to the restrictions of </w:t>
      </w:r>
      <w:r>
        <w:rPr>
          <w:rFonts w:ascii="Times New Roman;serif" w:hAnsi="Times New Roman;serif"/>
          <w:b w:val="false"/>
          <w:color w:val="000000"/>
          <w:sz w:val="22"/>
          <w:u w:val="single"/>
        </w:rPr>
        <w:t>Section 11.06(e</w:t>
      </w:r>
      <w:r>
        <w:rPr>
          <w:rFonts w:ascii="Times New Roman;serif" w:hAnsi="Times New Roman;serif"/>
          <w:b w:val="false"/>
          <w:color w:val="000000"/>
          <w:sz w:val="22"/>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serif" w:hAnsi="Times New Roman;serif"/>
          <w:b w:val="false"/>
          <w:color w:val="000000"/>
          <w:sz w:val="22"/>
          <w:u w:val="single"/>
        </w:rPr>
        <w:t>Section 11.06(d</w:t>
      </w:r>
      <w:r>
        <w:rPr>
          <w:rFonts w:ascii="Times New Roman;serif" w:hAnsi="Times New Roman;serif"/>
          <w:b w:val="false"/>
          <w:color w:val="000000"/>
          <w:sz w:val="22"/>
        </w:rPr>
        <w:t>) and, to the extent expressly contemplated hereby, the Related Parties of each of the Administrative Agent, the L/C Issuers and the Lenders) any legal or equitable right, remedy or claim under or by reason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Assignments by Lenders</w:t>
      </w:r>
      <w:r>
        <w:rPr>
          <w:rFonts w:ascii="Times New Roman;serif" w:hAnsi="Times New Roman;serif"/>
          <w:b w:val="false"/>
          <w:color w:val="000000"/>
          <w:sz w:val="22"/>
        </w:rPr>
        <w:t xml:space="preserve">. Any Lender may at any time assign to one or more assignees all or a portion of its rights and obligations under this Agreement and the other Loan Documents (including all or a portion of its Commitment(s) and the Loans (including for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85445"/>
                <wp:effectExtent l="0" t="0" r="0" b="0"/>
                <wp:wrapNone/>
                <wp:docPr id="177" name="Frame1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142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purposes of this </w:t>
      </w:r>
      <w:r>
        <w:rPr>
          <w:rFonts w:ascii="Times New Roman;serif" w:hAnsi="Times New Roman;serif"/>
          <w:b w:val="false"/>
          <w:color w:val="000000"/>
          <w:sz w:val="22"/>
          <w:u w:val="single"/>
        </w:rPr>
        <w:t>clause (b</w:t>
      </w:r>
      <w:r>
        <w:rPr>
          <w:rFonts w:ascii="Times New Roman;serif" w:hAnsi="Times New Roman;serif"/>
          <w:b w:val="false"/>
          <w:color w:val="000000"/>
          <w:sz w:val="22"/>
        </w:rPr>
        <w:t xml:space="preserve">), participations in L/C Obligations and in Swingline Loans) at the time owing to it);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(in each case with respect to any Facility) any such assignment shall be subject to the following conditions: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(i)Minimum Amounts.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(A)in the case of an assignment of the entire remaining amount of the assigning Lender’s Commitment under any Facility and/or the Loans at the time owing to it (in each case with respect to any Facility) or contemporaneous assignments to related Approved Funds (determined after giving effect to such assignments) that equal at least the amount specified in </w:t>
      </w:r>
      <w:r>
        <w:rPr>
          <w:rFonts w:ascii="Times New Roman;serif" w:hAnsi="Times New Roman;serif"/>
          <w:b w:val="false"/>
          <w:color w:val="000000"/>
          <w:sz w:val="22"/>
          <w:u w:val="single"/>
        </w:rPr>
        <w:t>clause (b)(i)(B</w:t>
      </w:r>
      <w:r>
        <w:rPr>
          <w:rFonts w:ascii="Times New Roman;serif" w:hAnsi="Times New Roman;serif"/>
          <w:b w:val="false"/>
          <w:color w:val="000000"/>
          <w:sz w:val="22"/>
        </w:rPr>
        <w:t xml:space="preserve">) of this </w:t>
      </w:r>
      <w:r>
        <w:rPr>
          <w:rFonts w:ascii="Times New Roman;serif" w:hAnsi="Times New Roman;serif"/>
          <w:b w:val="false"/>
          <w:color w:val="000000"/>
          <w:sz w:val="22"/>
          <w:u w:val="single"/>
        </w:rPr>
        <w:t>Section 11.06</w:t>
      </w:r>
      <w:r>
        <w:rPr>
          <w:color w:val="000000"/>
        </w:rPr>
        <w:t xml:space="preserve"> </w:t>
      </w:r>
      <w:r>
        <w:rPr>
          <w:rFonts w:ascii="Times New Roman;serif" w:hAnsi="Times New Roman;serif"/>
          <w:b w:val="false"/>
          <w:color w:val="000000"/>
          <w:sz w:val="22"/>
        </w:rPr>
        <w:t>in the aggregate or in the case of an assignment to a Lender, an Affiliate of a Lender or an Approved Fund, no minimum amount need be assigned;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(B)in any case not described in </w:t>
      </w:r>
      <w:r>
        <w:rPr>
          <w:rFonts w:ascii="Times New Roman;serif" w:hAnsi="Times New Roman;serif"/>
          <w:b w:val="false"/>
          <w:color w:val="000000"/>
          <w:sz w:val="22"/>
          <w:u w:val="single"/>
        </w:rPr>
        <w:t>clause (b)(i)(A</w:t>
      </w:r>
      <w:r>
        <w:rPr>
          <w:rFonts w:ascii="Times New Roman;serif" w:hAnsi="Times New Roman;serif"/>
          <w:b w:val="false"/>
          <w:color w:val="000000"/>
          <w:sz w:val="22"/>
        </w:rPr>
        <w:t xml:space="preserve">) of this </w:t>
      </w:r>
      <w:r>
        <w:rPr>
          <w:rFonts w:ascii="Times New Roman;serif" w:hAnsi="Times New Roman;serif"/>
          <w:b w:val="false"/>
          <w:color w:val="000000"/>
          <w:sz w:val="22"/>
          <w:u w:val="single"/>
        </w:rPr>
        <w:t>Section 11.06</w:t>
      </w:r>
      <w:r>
        <w:rPr>
          <w:rFonts w:ascii="Times New Roman;serif" w:hAnsi="Times New Roman;serif"/>
          <w:b w:val="false"/>
          <w:color w:val="000000"/>
          <w:sz w:val="22"/>
        </w:rPr>
        <w:t>,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Facility, or $1,000,000, in the case of any assignment in respect of the Term Facility, unless each of the Administrative Agent and, so long as no Event of Default has occurred and is continuing, the Borrowers otherwise consent (each such consent not to be unreasonably withheld or delayed).</w:t>
      </w:r>
    </w:p>
    <w:p>
      <w:pPr>
        <w:pStyle w:val="TextBody"/>
        <w:bidi w:val="0"/>
        <w:spacing w:lineRule="auto" w:line="240" w:before="0" w:after="24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Proportionate Amounts</w:t>
      </w:r>
      <w:r>
        <w:rPr>
          <w:rFonts w:ascii="Times New Roman;serif" w:hAnsi="Times New Roman;serif"/>
          <w:b w:val="false"/>
          <w:color w:val="000000"/>
          <w:sz w:val="22"/>
        </w:rPr>
        <w:t xml:space="preserve">. Each partial assignment shall be made as an assignment of a proportionate part of all the assigning Lender’s rights and obligations under this Agreement and the other Loan Documents with respect to the Loans and/or the Commitment assigned, except that this </w:t>
      </w:r>
      <w:r>
        <w:rPr>
          <w:rFonts w:ascii="Times New Roman;serif" w:hAnsi="Times New Roman;serif"/>
          <w:b w:val="false"/>
          <w:color w:val="000000"/>
          <w:sz w:val="22"/>
          <w:u w:val="single"/>
        </w:rPr>
        <w:t>clause (b)(ii</w:t>
      </w:r>
      <w:r>
        <w:rPr>
          <w:rFonts w:ascii="Times New Roman;serif" w:hAnsi="Times New Roman;serif"/>
          <w:b w:val="false"/>
          <w:color w:val="000000"/>
          <w:sz w:val="22"/>
        </w:rPr>
        <w:t>) shall not apply to the Swingline Lender’s rights and obligations in respect of Swingline Loans.</w:t>
      </w:r>
    </w:p>
    <w:p>
      <w:pPr>
        <w:pStyle w:val="TextBody"/>
        <w:bidi w:val="0"/>
        <w:spacing w:lineRule="auto" w:line="240" w:before="0" w:after="240"/>
        <w:ind w:left="0" w:right="0" w:firstLine="72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Required Consents</w:t>
      </w:r>
      <w:r>
        <w:rPr>
          <w:rFonts w:ascii="Times New Roman;serif" w:hAnsi="Times New Roman;serif"/>
          <w:b w:val="false"/>
          <w:color w:val="000000"/>
          <w:sz w:val="22"/>
        </w:rPr>
        <w:t xml:space="preserve">. No consent shall be required for any assignment except to the extent required by </w:t>
      </w:r>
      <w:r>
        <w:rPr>
          <w:rFonts w:ascii="Times New Roman;serif" w:hAnsi="Times New Roman;serif"/>
          <w:b w:val="false"/>
          <w:color w:val="000000"/>
          <w:sz w:val="22"/>
          <w:u w:val="single"/>
        </w:rPr>
        <w:t>clause (b)(i)(B</w:t>
      </w:r>
      <w:r>
        <w:rPr>
          <w:rFonts w:ascii="Times New Roman;serif" w:hAnsi="Times New Roman;serif"/>
          <w:b w:val="false"/>
          <w:color w:val="000000"/>
          <w:sz w:val="22"/>
        </w:rPr>
        <w:t xml:space="preserve">) of this </w:t>
      </w:r>
      <w:r>
        <w:rPr>
          <w:rFonts w:ascii="Times New Roman;serif" w:hAnsi="Times New Roman;serif"/>
          <w:b w:val="false"/>
          <w:color w:val="000000"/>
          <w:sz w:val="22"/>
          <w:u w:val="single"/>
        </w:rPr>
        <w:t>Section 11.06</w:t>
      </w:r>
      <w:r>
        <w:rPr>
          <w:color w:val="000000"/>
        </w:rPr>
        <w:t xml:space="preserve"> </w:t>
      </w:r>
      <w:r>
        <w:rPr>
          <w:rFonts w:ascii="Times New Roman;serif" w:hAnsi="Times New Roman;serif"/>
          <w:b w:val="false"/>
          <w:color w:val="000000"/>
          <w:sz w:val="22"/>
        </w:rPr>
        <w:t>and, in addition: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(A)the consent of the Borrowers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Borrowers shall be deemed to have consented to any such assignment unless it shall object thereto by written notice to the Administrative Agent within five (5) Business Days after having received notice thereof; and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that the Borrowers’ consent shall not be required during the primary syndication of the Facilities;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(B)the consent of the Administrative Agent (such consent not to be unreasonably withheld or delayed) shall be required for assignments in respect of (1) any unfunded Term Commitment or any Revolving Commitment if such assignment is to a Person that is not a Lender with a Commitment in respect of the applicable Facility, an Affiliate of such Lender or an Approved Fund with respect to such Lender; or (2) any Term Loan to a Person that is not a Lender, an Affiliate of a Lender or an Approved Fund;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(C)the consent of each L/C Issuer and the Swingline Lender shall be required for any assignment in respect of the Revolving Facility.</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85445"/>
                <wp:effectExtent l="0" t="0" r="0" b="0"/>
                <wp:wrapNone/>
                <wp:docPr id="178" name="Frame1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143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(iv)</w:t>
      </w:r>
      <w:r>
        <w:rPr>
          <w:rFonts w:ascii="Times New Roman;serif" w:hAnsi="Times New Roman;serif"/>
          <w:b w:val="false"/>
          <w:color w:val="000000"/>
          <w:sz w:val="22"/>
          <w:u w:val="single"/>
        </w:rPr>
        <w:t>Assignment and Assumption</w:t>
      </w:r>
      <w:r>
        <w:rPr>
          <w:rFonts w:ascii="Times New Roman;serif" w:hAnsi="Times New Roman;serif"/>
          <w:b w:val="false"/>
          <w:color w:val="000000"/>
          <w:sz w:val="22"/>
        </w:rPr>
        <w:t xml:space="preserve">. The parties to each assignment shall execute and deliver to the Administrative Agent an Assignment and Assumption, together with a processing and recordation fee in the amount of $3,500;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the Administrative Agent may, in its sole discretion, elect to waive such processing and recordation fee in the case of any assignment. The assignee, if it is not a Lender, shall deliver to the Administrative Agent an Administrative Questionnaire.</w:t>
      </w:r>
    </w:p>
    <w:p>
      <w:pPr>
        <w:pStyle w:val="TextBody"/>
        <w:bidi w:val="0"/>
        <w:spacing w:lineRule="auto" w:line="240" w:before="0" w:after="240"/>
        <w:ind w:left="0" w:right="0" w:firstLine="720"/>
        <w:jc w:val="both"/>
        <w:rPr/>
      </w:pPr>
      <w:r>
        <w:rPr>
          <w:rFonts w:ascii="Times New Roman;serif" w:hAnsi="Times New Roman;serif"/>
          <w:b w:val="false"/>
          <w:color w:val="000000"/>
          <w:sz w:val="22"/>
        </w:rPr>
        <w:t>(v)</w:t>
      </w:r>
      <w:r>
        <w:rPr>
          <w:rFonts w:ascii="Times New Roman;serif" w:hAnsi="Times New Roman;serif"/>
          <w:b w:val="false"/>
          <w:color w:val="000000"/>
          <w:sz w:val="22"/>
          <w:u w:val="single"/>
        </w:rPr>
        <w:t>No Assignment to Certain Persons</w:t>
      </w:r>
      <w:r>
        <w:rPr>
          <w:rFonts w:ascii="Times New Roman;serif" w:hAnsi="Times New Roman;serif"/>
          <w:b w:val="false"/>
          <w:color w:val="000000"/>
          <w:sz w:val="22"/>
        </w:rPr>
        <w:t xml:space="preserve">. No such assignment shall be made (A) to the Borrowers or any of the Borrowers’ Affiliates or Subsidiaries, (B) to any Defaulting Lender or any of its Subsidiaries, or any Person who, upon becoming a Lender hereunder, would constitute any of the foregoing Persons described in this </w:t>
      </w:r>
      <w:r>
        <w:rPr>
          <w:rFonts w:ascii="Times New Roman;serif" w:hAnsi="Times New Roman;serif"/>
          <w:b w:val="false"/>
          <w:color w:val="000000"/>
          <w:sz w:val="22"/>
          <w:u w:val="single"/>
        </w:rPr>
        <w:t>clause (B</w:t>
      </w:r>
      <w:r>
        <w:rPr>
          <w:rFonts w:ascii="Times New Roman;serif" w:hAnsi="Times New Roman;serif"/>
          <w:b w:val="false"/>
          <w:color w:val="000000"/>
          <w:sz w:val="22"/>
        </w:rPr>
        <w:t xml:space="preserve">), or (C) to a natural Person (or a holding company, investment vehicle or trust for, or owned and operated by or for the primary benefit of one or more natural Persons). In addition, notwithstanding anything to the contrary contained in this Agreement, no sale, assignment or transfer may occur, unless the purchaser, assignee, or transferee, as the case may be, certifies (in accordance with the applicable certification methods set forth in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to the Borrowers, any other applicable Loan Party and the Administrative Agent that all payments made by or on account of any obligation of a Loan Party under any provision of this Agreement or any other Loan Document may be made to such purchaser, assignee, or transferee, as the case may be, without deduction or withholding of Taxes.</w:t>
      </w:r>
    </w:p>
    <w:p>
      <w:pPr>
        <w:pStyle w:val="TextBody"/>
        <w:bidi w:val="0"/>
        <w:spacing w:lineRule="auto" w:line="240" w:before="0" w:after="240"/>
        <w:ind w:left="0" w:right="0" w:firstLine="720"/>
        <w:jc w:val="both"/>
        <w:rPr/>
      </w:pPr>
      <w:r>
        <w:rPr>
          <w:rFonts w:ascii="Times New Roman;serif" w:hAnsi="Times New Roman;serif"/>
          <w:b w:val="false"/>
          <w:color w:val="000000"/>
          <w:sz w:val="22"/>
        </w:rPr>
        <w:t>(vi)</w:t>
      </w:r>
      <w:r>
        <w:rPr>
          <w:rFonts w:ascii="Times New Roman;serif" w:hAnsi="Times New Roman;serif"/>
          <w:b w:val="false"/>
          <w:color w:val="000000"/>
          <w:sz w:val="22"/>
          <w:u w:val="single"/>
        </w:rPr>
        <w:t>Certain Additional Payments</w:t>
      </w:r>
      <w:r>
        <w:rPr>
          <w:rFonts w:ascii="Times New Roman;serif" w:hAnsi="Times New Roman;serif"/>
          <w:b w:val="false"/>
          <w:color w:val="000000"/>
          <w:sz w:val="22"/>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any L/C Issuer or any Lender hereunder (and interest accrued thereon) and (B)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Times New Roman;serif" w:hAnsi="Times New Roman;serif"/>
          <w:b w:val="false"/>
          <w:color w:val="000000"/>
          <w:sz w:val="22"/>
          <w:u w:val="single"/>
        </w:rPr>
        <w:t>clause (b)(vi</w:t>
      </w:r>
      <w:r>
        <w:rPr>
          <w:rFonts w:ascii="Times New Roman;serif" w:hAnsi="Times New Roman;serif"/>
          <w:b w:val="false"/>
          <w:color w:val="000000"/>
          <w:sz w:val="22"/>
        </w:rPr>
        <w:t>), then the assignee of such interest shall be deemed to be a Defaulting Lender for all purposes of this Agreement until such compliance occurs.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(vii)Subject to acceptance and recording thereof by the Administrative Agent pursuant to </w:t>
      </w:r>
      <w:r>
        <w:rPr>
          <w:rFonts w:ascii="Times New Roman;serif" w:hAnsi="Times New Roman;serif"/>
          <w:b w:val="false"/>
          <w:color w:val="000000"/>
          <w:sz w:val="22"/>
          <w:u w:val="single"/>
        </w:rPr>
        <w:t>Section 11.06(c</w:t>
      </w:r>
      <w:r>
        <w:rPr>
          <w:rFonts w:ascii="Times New Roman;serif" w:hAnsi="Times New Roman;serif"/>
          <w:b w:val="false"/>
          <w:color w:val="000000"/>
          <w:sz w:val="22"/>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serif" w:hAnsi="Times New Roman;serif"/>
          <w:b w:val="false"/>
          <w:color w:val="000000"/>
          <w:sz w:val="22"/>
          <w:u w:val="single"/>
        </w:rPr>
        <w:t>Sections 3.01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3.05</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11.04</w:t>
      </w:r>
      <w:r>
        <w:rPr>
          <w:color w:val="000000"/>
        </w:rPr>
        <w:t xml:space="preserve"> </w:t>
      </w:r>
      <w:r>
        <w:rPr>
          <w:rFonts w:ascii="Times New Roman;serif" w:hAnsi="Times New Roman;serif"/>
          <w:b w:val="false"/>
          <w:color w:val="000000"/>
          <w:sz w:val="22"/>
        </w:rPr>
        <w:t xml:space="preserve">with respect to facts and circumstances occurring prior to the effective date of such assignment);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85445"/>
                <wp:effectExtent l="0" t="0" r="0" b="0"/>
                <wp:wrapNone/>
                <wp:docPr id="179" name="Frame1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144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does not comply with this </w:t>
      </w:r>
      <w:r>
        <w:rPr>
          <w:rFonts w:ascii="Times New Roman;serif" w:hAnsi="Times New Roman;serif"/>
          <w:b w:val="false"/>
          <w:color w:val="000000"/>
          <w:sz w:val="22"/>
          <w:u w:val="single"/>
        </w:rPr>
        <w:t>clause (b</w:t>
      </w:r>
      <w:r>
        <w:rPr>
          <w:rFonts w:ascii="Times New Roman;serif" w:hAnsi="Times New Roman;serif"/>
          <w:b w:val="false"/>
          <w:color w:val="000000"/>
          <w:sz w:val="22"/>
        </w:rPr>
        <w:t xml:space="preserve">) shall be treated for purposes of this Agreement as a sale by such Lender of a participation in such rights and obligations in accordance with </w:t>
      </w:r>
      <w:r>
        <w:rPr>
          <w:rFonts w:ascii="Times New Roman;serif" w:hAnsi="Times New Roman;serif"/>
          <w:b w:val="false"/>
          <w:color w:val="000000"/>
          <w:sz w:val="22"/>
          <w:u w:val="single"/>
        </w:rPr>
        <w:t>Section 11.06(d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Register</w:t>
      </w:r>
      <w:r>
        <w:rPr>
          <w:rFonts w:ascii="Times New Roman;serif" w:hAnsi="Times New Roman;serif"/>
          <w:b w:val="false"/>
          <w:color w:val="000000"/>
          <w:sz w:val="22"/>
        </w:rPr>
        <w:t>. The Administrative Agent, acting solely for this purpose as a non-fiduciary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interest amounts) of the Loans and L/C Obligations owing to, each Lender pursuant to the terms hereof from time to time (the “</w:t>
      </w:r>
      <w:r>
        <w:rPr>
          <w:rFonts w:ascii="Times New Roman;serif" w:hAnsi="Times New Roman;serif"/>
          <w:b w:val="false"/>
          <w:i/>
          <w:color w:val="000000"/>
          <w:sz w:val="22"/>
          <w:u w:val="single"/>
        </w:rPr>
        <w:t>Register</w:t>
      </w:r>
      <w:r>
        <w:rPr>
          <w:color w:val="000000"/>
        </w:rPr>
        <w:t>”</w:t>
      </w:r>
      <w:r>
        <w:rPr>
          <w:rFonts w:ascii="Times New Roman;serif" w:hAnsi="Times New Roman;serif"/>
          <w:b w:val="false"/>
          <w:color w:val="000000"/>
          <w:sz w:val="22"/>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the Borrowers and any Lender (with respect to such Lender’s interest only), at any reasonable time and from time to time upon reasonable prior notice.</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Participations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(i)Any Lender may at any time, without the consent of, or notice to, any Borrower or the Administrative Agent, sell participations to any Person (other than a natural Person, or a holding company, investment vehicle or trust for, or owned and operated for the primary benefit of one or more natural Persons, a Defaulting Lender or any Borrower or any of the Borrowers’ Affiliates or Subsidiaries) (each, a “</w:t>
      </w:r>
      <w:r>
        <w:rPr>
          <w:rFonts w:ascii="Times New Roman;serif" w:hAnsi="Times New Roman;serif"/>
          <w:b w:val="false"/>
          <w:i/>
          <w:color w:val="000000"/>
          <w:sz w:val="22"/>
          <w:u w:val="single"/>
        </w:rPr>
        <w:t>Participant</w:t>
      </w:r>
      <w:r>
        <w:rPr>
          <w:color w:val="000000"/>
        </w:rPr>
        <w:t>”</w:t>
      </w:r>
      <w:r>
        <w:rPr>
          <w:rFonts w:ascii="Times New Roman;serif" w:hAnsi="Times New Roman;serif"/>
          <w:b w:val="false"/>
          <w:color w:val="000000"/>
          <w:sz w:val="22"/>
        </w:rPr>
        <w:t xml:space="preserve">) in all or a portion of such Lender’s rights and/or obligations under this Agreement (including all or a portion of its Commitment and/or the Loans (including such Lender’s participations in L/C Obligations and/or Swingline Loans) owing to it);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 such Lender’s obligations under this Agreement shall remain unchanged, (ii) such Lender shall remain solely responsible to the other parties hereto for the performance of such obligations, (iii) the Borrowers, the Administrative Agent, the Lenders and the L/C Issuers shall continue to deal solely and directly with such Lender in connection with such Lender’s rights and obligations under this Agreement, and (iv) if such participation would cause the relevant Lender to cease to be a Qualifying Lender in relation to any payment of interest by a UK Loan Party attributable to such participation, the relevant Lender shall promptly inform the relevant UK Loan Party and the Administrative Agent of the proportion of such Loans and/or Commitments that have been so participated and the relevant UK Loan Party shall be entitled to apply the terms of this Agreement as if the Lender were not a Qualifying Lender in respect of that proportion of such Loans and/or Commitments. For the avoidance of doubt, each Lender shall be responsible for the indemnity under </w:t>
      </w:r>
      <w:r>
        <w:rPr>
          <w:rFonts w:ascii="Times New Roman;serif" w:hAnsi="Times New Roman;serif"/>
          <w:b w:val="false"/>
          <w:color w:val="000000"/>
          <w:sz w:val="22"/>
          <w:u w:val="single"/>
        </w:rPr>
        <w:t>Section 11.04(c</w:t>
      </w:r>
      <w:r>
        <w:rPr>
          <w:rFonts w:ascii="Times New Roman;serif" w:hAnsi="Times New Roman;serif"/>
          <w:b w:val="false"/>
          <w:color w:val="000000"/>
          <w:sz w:val="22"/>
        </w:rPr>
        <w:t>) without regard to the existence of any participations.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agreement or instrument may provide that such Lender will not, without the consent of the Participant, agree to any amendment, waiver or other modification described in the first proviso to </w:t>
      </w:r>
      <w:r>
        <w:rPr>
          <w:rFonts w:ascii="Times New Roman;serif" w:hAnsi="Times New Roman;serif"/>
          <w:b w:val="false"/>
          <w:color w:val="000000"/>
          <w:sz w:val="22"/>
          <w:u w:val="single"/>
        </w:rPr>
        <w:t>Section 11.01</w:t>
      </w:r>
      <w:r>
        <w:rPr>
          <w:color w:val="000000"/>
        </w:rPr>
        <w:t xml:space="preserve"> </w:t>
      </w:r>
      <w:r>
        <w:rPr>
          <w:rFonts w:ascii="Times New Roman;serif" w:hAnsi="Times New Roman;serif"/>
          <w:b w:val="false"/>
          <w:color w:val="000000"/>
          <w:sz w:val="22"/>
        </w:rPr>
        <w:t xml:space="preserve">that affects such Participant. The Borrowers agree that each Participant shall be entitled to the benefits of </w:t>
      </w:r>
      <w:r>
        <w:rPr>
          <w:rFonts w:ascii="Times New Roman;serif" w:hAnsi="Times New Roman;serif"/>
          <w:b w:val="false"/>
          <w:color w:val="000000"/>
          <w:sz w:val="22"/>
          <w:u w:val="single"/>
        </w:rPr>
        <w:t>Sections 3.01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3.05</w:t>
      </w:r>
      <w:r>
        <w:rPr>
          <w:color w:val="000000"/>
        </w:rPr>
        <w:t xml:space="preserve"> </w:t>
      </w:r>
      <w:r>
        <w:rPr>
          <w:rFonts w:ascii="Times New Roman;serif" w:hAnsi="Times New Roman;serif"/>
          <w:b w:val="false"/>
          <w:color w:val="000000"/>
          <w:sz w:val="22"/>
        </w:rPr>
        <w:t xml:space="preserve">(subject to the requirements and limitations therein, including the requirements under </w:t>
      </w:r>
      <w:r>
        <w:rPr>
          <w:rFonts w:ascii="Times New Roman;serif" w:hAnsi="Times New Roman;serif"/>
          <w:b w:val="false"/>
          <w:color w:val="000000"/>
          <w:sz w:val="22"/>
          <w:u w:val="single"/>
        </w:rPr>
        <w:t>Section 3.01(e</w:t>
      </w:r>
      <w:r>
        <w:rPr>
          <w:rFonts w:ascii="Times New Roman;serif" w:hAnsi="Times New Roman;serif"/>
          <w:b w:val="false"/>
          <w:color w:val="000000"/>
          <w:sz w:val="22"/>
        </w:rPr>
        <w:t xml:space="preserve">) (it being understood that the documentation required under </w:t>
      </w:r>
      <w:r>
        <w:rPr>
          <w:rFonts w:ascii="Times New Roman;serif" w:hAnsi="Times New Roman;serif"/>
          <w:b w:val="false"/>
          <w:color w:val="000000"/>
          <w:sz w:val="22"/>
          <w:u w:val="single"/>
        </w:rPr>
        <w:t>Section 3.01(e</w:t>
      </w:r>
      <w:r>
        <w:rPr>
          <w:rFonts w:ascii="Times New Roman;serif" w:hAnsi="Times New Roman;serif"/>
          <w:b w:val="false"/>
          <w:color w:val="000000"/>
          <w:sz w:val="22"/>
        </w:rPr>
        <w:t xml:space="preserve">) shall be delivered to the Lender who sells the participation)) to the same extent as if it were a Lender and had acquired its interest by assignment pursuant to </w:t>
      </w:r>
      <w:r>
        <w:rPr>
          <w:rFonts w:ascii="Times New Roman;serif" w:hAnsi="Times New Roman;serif"/>
          <w:b w:val="false"/>
          <w:color w:val="000000"/>
          <w:sz w:val="22"/>
          <w:u w:val="single"/>
        </w:rPr>
        <w:t>clause (b</w:t>
      </w:r>
      <w:r>
        <w:rPr>
          <w:rFonts w:ascii="Times New Roman;serif" w:hAnsi="Times New Roman;serif"/>
          <w:b w:val="false"/>
          <w:color w:val="000000"/>
          <w:sz w:val="22"/>
        </w:rPr>
        <w:t xml:space="preserve">) of this </w:t>
      </w:r>
      <w:r>
        <w:rPr>
          <w:rFonts w:ascii="Times New Roman;serif" w:hAnsi="Times New Roman;serif"/>
          <w:b w:val="false"/>
          <w:color w:val="000000"/>
          <w:sz w:val="22"/>
          <w:u w:val="single"/>
        </w:rPr>
        <w:t>Section 11.06</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Participant (A) shall be subject to the provisions of </w:t>
      </w:r>
      <w:r>
        <w:rPr>
          <w:rFonts w:ascii="Times New Roman;serif" w:hAnsi="Times New Roman;serif"/>
          <w:b w:val="false"/>
          <w:color w:val="000000"/>
          <w:sz w:val="22"/>
          <w:u w:val="single"/>
        </w:rPr>
        <w:t>Sections 3.06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11.13</w:t>
      </w:r>
      <w:r>
        <w:rPr>
          <w:color w:val="000000"/>
        </w:rPr>
        <w:t xml:space="preserve"> </w:t>
      </w:r>
      <w:r>
        <w:rPr>
          <w:rFonts w:ascii="Times New Roman;serif" w:hAnsi="Times New Roman;serif"/>
          <w:b w:val="false"/>
          <w:color w:val="000000"/>
          <w:sz w:val="22"/>
        </w:rPr>
        <w:t xml:space="preserve">as if it were an assignee under </w:t>
      </w:r>
      <w:r>
        <w:rPr>
          <w:rFonts w:ascii="Times New Roman;serif" w:hAnsi="Times New Roman;serif"/>
          <w:b w:val="false"/>
          <w:color w:val="000000"/>
          <w:sz w:val="22"/>
          <w:u w:val="single"/>
        </w:rPr>
        <w:t>clause (b</w:t>
      </w:r>
      <w:r>
        <w:rPr>
          <w:rFonts w:ascii="Times New Roman;serif" w:hAnsi="Times New Roman;serif"/>
          <w:b w:val="false"/>
          <w:color w:val="000000"/>
          <w:sz w:val="22"/>
        </w:rPr>
        <w:t xml:space="preserve">) of this </w:t>
      </w:r>
      <w:r>
        <w:rPr>
          <w:rFonts w:ascii="Times New Roman;serif" w:hAnsi="Times New Roman;serif"/>
          <w:b w:val="false"/>
          <w:color w:val="000000"/>
          <w:sz w:val="22"/>
          <w:u w:val="single"/>
        </w:rPr>
        <w:t>Section 11.06</w:t>
      </w:r>
      <w:r>
        <w:rPr>
          <w:color w:val="000000"/>
        </w:rPr>
        <w:t xml:space="preserve"> </w:t>
      </w:r>
      <w:r>
        <w:rPr>
          <w:rFonts w:ascii="Times New Roman;serif" w:hAnsi="Times New Roman;serif"/>
          <w:b w:val="false"/>
          <w:color w:val="000000"/>
          <w:sz w:val="22"/>
        </w:rPr>
        <w:t xml:space="preserve">and (B) shall not be entitled to receive any greater payment under </w:t>
      </w:r>
      <w:r>
        <w:rPr>
          <w:rFonts w:ascii="Times New Roman;serif" w:hAnsi="Times New Roman;serif"/>
          <w:b w:val="false"/>
          <w:color w:val="000000"/>
          <w:sz w:val="22"/>
          <w:u w:val="single"/>
        </w:rPr>
        <w:t>Sections 3.01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3.04</w:t>
      </w:r>
      <w:r>
        <w:rPr>
          <w:rFonts w:ascii="Times New Roman;serif" w:hAnsi="Times New Roman;serif"/>
          <w:b w:val="false"/>
          <w:color w:val="000000"/>
          <w:sz w:val="22"/>
        </w:rPr>
        <w:t xml:space="preserve">, with respect to any participation, than the Lender from whom it acquired the applicable participation would have been entitled to receive, except to the extent such entitlement to receive a greater payment results from a Change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85445"/>
                <wp:effectExtent l="0" t="0" r="0" b="0"/>
                <wp:wrapNone/>
                <wp:docPr id="180" name="Frame1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145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in Law that occurs after the Participant acquired the applicable participation. Each Lender that sells a participation agrees, at the Borrowers’ request and expense, to use reasonable efforts to cooperate with the Borrowers to effectuate the provisions of </w:t>
      </w:r>
      <w:r>
        <w:rPr>
          <w:rFonts w:ascii="Times New Roman;serif" w:hAnsi="Times New Roman;serif"/>
          <w:b w:val="false"/>
          <w:color w:val="000000"/>
          <w:sz w:val="22"/>
          <w:u w:val="single"/>
        </w:rPr>
        <w:t>Section 3.06</w:t>
      </w:r>
      <w:r>
        <w:rPr>
          <w:color w:val="000000"/>
        </w:rPr>
        <w:t xml:space="preserve"> </w:t>
      </w:r>
      <w:r>
        <w:rPr>
          <w:rFonts w:ascii="Times New Roman;serif" w:hAnsi="Times New Roman;serif"/>
          <w:b w:val="false"/>
          <w:color w:val="000000"/>
          <w:sz w:val="22"/>
        </w:rPr>
        <w:t xml:space="preserve">with respect to any Participant. To the extent permitted by law, each Participant also shall be entitled to the benefits of </w:t>
      </w:r>
      <w:r>
        <w:rPr>
          <w:rFonts w:ascii="Times New Roman;serif" w:hAnsi="Times New Roman;serif"/>
          <w:b w:val="false"/>
          <w:color w:val="000000"/>
          <w:sz w:val="22"/>
          <w:u w:val="single"/>
        </w:rPr>
        <w:t>Section 11.08</w:t>
      </w:r>
      <w:r>
        <w:rPr>
          <w:color w:val="000000"/>
        </w:rPr>
        <w:t xml:space="preserve"> </w:t>
      </w:r>
      <w:r>
        <w:rPr>
          <w:rFonts w:ascii="Times New Roman;serif" w:hAnsi="Times New Roman;serif"/>
          <w:b w:val="false"/>
          <w:color w:val="000000"/>
          <w:sz w:val="22"/>
        </w:rPr>
        <w:t xml:space="preserve">as though it were a Lender;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Participant agrees to be subject to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as though it were a Lender. Each Lender that sells a participation shall, acting solely for this purpose as a non-fiduciary agent of the Borrowers, maintain a register on which it enters the name and address of each Participant and the principal amounts (and interest amounts) of each Participant’s interest in the Loans or other obligations under the Loan Documents (the “</w:t>
      </w:r>
      <w:r>
        <w:rPr>
          <w:rFonts w:ascii="Times New Roman;serif" w:hAnsi="Times New Roman;serif"/>
          <w:b w:val="false"/>
          <w:i/>
          <w:color w:val="000000"/>
          <w:sz w:val="22"/>
          <w:u w:val="single"/>
        </w:rPr>
        <w:t>Participant Register</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Certain Pledges</w:t>
      </w:r>
      <w:r>
        <w:rPr>
          <w:rFonts w:ascii="Times New Roman;serif" w:hAnsi="Times New Roman;serif"/>
          <w:b w:val="false"/>
          <w:color w:val="000000"/>
          <w:sz w:val="22"/>
        </w:rPr>
        <w:t xml:space="preserve">. Any Lender may at any time pledge or assign a security interest in all or any portion of its rights under this Agreement (including under its Note or Notes, if any) to secure obligations of such Lender, including any pledge or assignment to secure obligations to a Federal Reserve Bank;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no such pledge or assignment shall release such Lender from any of its obligations hereunder or substitute any such pledgee or assignee for such Lender as a party 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Resignation as L/C Issuer or Swingline Lender after Assignment</w:t>
      </w:r>
      <w:r>
        <w:rPr>
          <w:rFonts w:ascii="Times New Roman;serif" w:hAnsi="Times New Roman;serif"/>
          <w:b w:val="false"/>
          <w:color w:val="000000"/>
          <w:sz w:val="22"/>
        </w:rPr>
        <w:t xml:space="preserve">. Notwithstanding anything to the contrary contained herein, if at any time any L/C Issuer or Swingline Lender assigns all of its Revolving Commitment and Revolving Loans pursuant to </w:t>
      </w:r>
      <w:r>
        <w:rPr>
          <w:rFonts w:ascii="Times New Roman;serif" w:hAnsi="Times New Roman;serif"/>
          <w:b w:val="false"/>
          <w:color w:val="000000"/>
          <w:sz w:val="22"/>
          <w:u w:val="single"/>
        </w:rPr>
        <w:t>clause (b</w:t>
      </w:r>
      <w:r>
        <w:rPr>
          <w:rFonts w:ascii="Times New Roman;serif" w:hAnsi="Times New Roman;serif"/>
          <w:b w:val="false"/>
          <w:color w:val="000000"/>
          <w:sz w:val="22"/>
        </w:rPr>
        <w:t xml:space="preserve">) above, such L/C Issuer and such Swingline Lender may, (i) upon thirty (30) days’ notice to the Administrative Agent, the Borrowers and the Lenders, resign as an L/C Issuer and/or (ii) upon thirty (30) days’ notice to the Borrowers, resign as a Swingline Lender. In the event of any such resignation as an L/C Issuer or a Swingline Lender, the Borrowers shall be entitled to appoint from among the Lenders a successor L/C Issuer or Swingline Lender hereunder;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no failure by the Borrowers to appoint any such successor shall affect the resignation of the applicable L/C Issuer or the applicable Swingline Lender as an L/C Issuer or a Swingline Lender, as the case may be. If Bank of America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w:t>
      </w:r>
      <w:r>
        <w:rPr>
          <w:rFonts w:ascii="Times New Roman;serif" w:hAnsi="Times New Roman;serif"/>
          <w:b w:val="false"/>
          <w:color w:val="000000"/>
          <w:sz w:val="22"/>
          <w:u w:val="single"/>
        </w:rPr>
        <w:t>Section 2.03(c</w:t>
      </w:r>
      <w:r>
        <w:rPr>
          <w:rFonts w:ascii="Times New Roman;serif" w:hAnsi="Times New Roman;serif"/>
          <w:b w:val="false"/>
          <w:color w:val="000000"/>
          <w:sz w:val="22"/>
        </w:rPr>
        <w:t xml:space="preserve">)). If the applicable Swingline Lender resigns as a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serif" w:hAnsi="Times New Roman;serif"/>
          <w:b w:val="false"/>
          <w:color w:val="000000"/>
          <w:sz w:val="22"/>
          <w:u w:val="single"/>
        </w:rPr>
        <w:t>Section 2.04(c</w:t>
      </w:r>
      <w:r>
        <w:rPr>
          <w:rFonts w:ascii="Times New Roman;serif" w:hAnsi="Times New Roman;serif"/>
          <w:b w:val="false"/>
          <w:color w:val="000000"/>
          <w:sz w:val="22"/>
        </w:rPr>
        <w:t>). Upon the appointment of a successor L/C Issuer and/or Swingline Lender, (A) such successor shall succeed to and become vested with all of the rights, powers, privileges and duties of the retiring L/C Issuer or Swingline Lender, as the case may be, and (B) the successor L/C Issuer shall issue letters of credit in substitution for the Letters of Credit, if any, outstanding at the time of such succession or make other arrangements satisfactory to the applicable retiring L/C Issuer to effectively assume the obligations of the applicable retiring L/C Issuer with respect to such Letters of Credit.</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85445"/>
                <wp:effectExtent l="0" t="0" r="0" b="0"/>
                <wp:wrapNone/>
                <wp:docPr id="181" name="Frame1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146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11.07</w:t>
      </w:r>
      <w:r>
        <w:rPr>
          <w:rFonts w:ascii="Times New Roman;serif" w:hAnsi="Times New Roman;serif"/>
          <w:b/>
          <w:color w:val="000000"/>
          <w:sz w:val="22"/>
          <w:u w:val="single"/>
        </w:rPr>
        <w:t>Treatment of Certain Information; Confidentiality</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Treatment of Certain Information</w:t>
      </w:r>
      <w:r>
        <w:rPr>
          <w:rFonts w:ascii="Times New Roman;serif" w:hAnsi="Times New Roman;serif"/>
          <w:b w:val="false"/>
          <w:color w:val="000000"/>
          <w:sz w:val="22"/>
        </w:rPr>
        <w:t xml:space="preserve">. Each of the Administrative Agent, the Lenders and the L/C Issuers agrees to maintain the confidentiality of the Information (as defined below), except that Information may be disclosed (i) to its Affiliates, its auditors and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w:t>
      </w:r>
      <w:r>
        <w:rPr>
          <w:rFonts w:ascii="Times New Roman;serif" w:hAnsi="Times New Roman;serif"/>
          <w:b w:val="false"/>
          <w:color w:val="000000"/>
          <w:sz w:val="22"/>
          <w:u w:val="single"/>
        </w:rPr>
        <w:t>Section 11.07</w:t>
      </w:r>
      <w:r>
        <w:rPr>
          <w:rFonts w:ascii="Times New Roman;serif" w:hAnsi="Times New Roman;serif"/>
          <w:b w:val="false"/>
          <w:color w:val="000000"/>
          <w:sz w:val="22"/>
        </w:rPr>
        <w:t xml:space="preserve">, to (A) any assignee of or Participant in, or any prospective assignee of or Participant in, any of its rights and obligations under this Agreement or any Eligible Assignee invited to be a Lender pursuant to </w:t>
      </w:r>
      <w:r>
        <w:rPr>
          <w:rFonts w:ascii="Times New Roman;serif" w:hAnsi="Times New Roman;serif"/>
          <w:b w:val="false"/>
          <w:color w:val="000000"/>
          <w:sz w:val="22"/>
          <w:u w:val="single"/>
        </w:rPr>
        <w:t>Section 2.19(c)</w:t>
      </w:r>
      <w:r>
        <w:rPr>
          <w:color w:val="000000"/>
        </w:rPr>
        <w:t xml:space="preserve"> </w:t>
      </w:r>
      <w:r>
        <w:rPr>
          <w:rFonts w:ascii="Times New Roman;serif" w:hAnsi="Times New Roman;serif"/>
          <w:b w:val="false"/>
          <w:color w:val="000000"/>
          <w:sz w:val="22"/>
        </w:rPr>
        <w:t xml:space="preserve">or (B) any actual or prospective party (or its Related Parties) to any swap, derivative or other transaction under which payments are to be made by reference to the Borrowers and their obligations, this Agreement or payments hereunder, (vii) on a confidential basis to (A) any rating agency in connection with rating the Borrowers or their Subsidiaries or the credit facilities provided hereunder or (B) the CUSIP Service Bureau or any similar agency in connection with the application, issuance, publishing and monitoring of CUSIP numbers or other market identifiers with respect to the credit facilities provided hereunder, or (viii) with the consent of the Borrowers or to the extent such Information (A) becomes publicly available other than as a result of a breach of this </w:t>
      </w:r>
      <w:r>
        <w:rPr>
          <w:rFonts w:ascii="Times New Roman;serif" w:hAnsi="Times New Roman;serif"/>
          <w:b w:val="false"/>
          <w:color w:val="000000"/>
          <w:sz w:val="22"/>
          <w:u w:val="single"/>
        </w:rPr>
        <w:t>Section 11.07</w:t>
      </w:r>
      <w:r>
        <w:rPr>
          <w:rFonts w:ascii="Times New Roman;serif" w:hAnsi="Times New Roman;serif"/>
          <w:b w:val="false"/>
          <w:color w:val="000000"/>
          <w:sz w:val="22"/>
        </w:rPr>
        <w:t xml:space="preserve">, (B) becomes available to the Administrative Agent, any Lender, any L/C Issuer or any of their respective Affiliates on a nonconfidential basis from a source other than the Borrowers or (C) is independently discovered or developed by a party hereto without utilizing any Information received from the Borrowers or violating the terms of this </w:t>
      </w:r>
      <w:r>
        <w:rPr>
          <w:rFonts w:ascii="Times New Roman;serif" w:hAnsi="Times New Roman;serif"/>
          <w:b w:val="false"/>
          <w:color w:val="000000"/>
          <w:sz w:val="22"/>
          <w:u w:val="single"/>
        </w:rPr>
        <w:t>Section 11.07</w:t>
      </w:r>
      <w:r>
        <w:rPr>
          <w:rFonts w:ascii="Times New Roman;serif" w:hAnsi="Times New Roman;serif"/>
          <w:b w:val="false"/>
          <w:color w:val="000000"/>
          <w:sz w:val="22"/>
        </w:rPr>
        <w:t xml:space="preserve">. For purposes of this </w:t>
      </w:r>
      <w:r>
        <w:rPr>
          <w:rFonts w:ascii="Times New Roman;serif" w:hAnsi="Times New Roman;serif"/>
          <w:b w:val="false"/>
          <w:color w:val="000000"/>
          <w:sz w:val="22"/>
          <w:u w:val="single"/>
        </w:rPr>
        <w:t>Section 11.07</w:t>
      </w:r>
      <w:r>
        <w:rPr>
          <w:rFonts w:ascii="Times New Roman;serif" w:hAnsi="Times New Roman;serif"/>
          <w:b w:val="false"/>
          <w:color w:val="000000"/>
          <w:sz w:val="22"/>
        </w:rPr>
        <w:t>, “</w:t>
      </w:r>
      <w:r>
        <w:rPr>
          <w:rFonts w:ascii="Times New Roman;serif" w:hAnsi="Times New Roman;serif"/>
          <w:b w:val="false"/>
          <w:i/>
          <w:color w:val="000000"/>
          <w:sz w:val="22"/>
          <w:u w:val="single"/>
        </w:rPr>
        <w:t>Information</w:t>
      </w:r>
      <w:r>
        <w:rPr>
          <w:color w:val="000000"/>
        </w:rPr>
        <w:t xml:space="preserve">” </w:t>
      </w:r>
      <w:r>
        <w:rPr>
          <w:rFonts w:ascii="Times New Roman;serif" w:hAnsi="Times New Roman;serif"/>
          <w:b w:val="false"/>
          <w:color w:val="000000"/>
          <w:sz w:val="22"/>
        </w:rPr>
        <w:t xml:space="preserve">means all information received from any Borrower or any Subsidiary relating to any Borrower or any Subsidiary or any of their respective businesses, other than any such information that is available to the Administrative Agent, any Lender or any L/C Issuer on a nonconfidential basis prior to disclosure by any Borrower or any Subsidiary, provided that, in the case of information received from any Borrower or any Subsidiary after the date hereof, such information is (a) clearly identified at the time of delivery as confidential or (b) by its nature would reasonably be understood to be confidential. Any Person required to maintain the confidentiality of Information as provided in this </w:t>
      </w:r>
      <w:r>
        <w:rPr>
          <w:rFonts w:ascii="Times New Roman;serif" w:hAnsi="Times New Roman;serif"/>
          <w:b w:val="false"/>
          <w:color w:val="000000"/>
          <w:sz w:val="22"/>
          <w:u w:val="single"/>
        </w:rPr>
        <w:t>Section 11.07</w:t>
      </w:r>
      <w:r>
        <w:rPr>
          <w:color w:val="000000"/>
        </w:rPr>
        <w:t xml:space="preserve"> </w:t>
      </w:r>
      <w:r>
        <w:rPr>
          <w:rFonts w:ascii="Times New Roman;serif" w:hAnsi="Times New Roman;serif"/>
          <w:b w:val="false"/>
          <w:color w:val="000000"/>
          <w:sz w:val="22"/>
        </w:rPr>
        <w:t xml:space="preserve">shall be considered to have complied with its obligation to do so if such Person has exercised the same degree of care to maintain the confidentiality of such Information as such Person would accord to its own confidential information. In addition, the Administrative Agent and the Lenders may disclose the existence of this Agreement and general information about this Agreement to market data collectors, similar service providers to the lending industry and service providers to the Administrative Agent and the Lenders in connection with the administration of this Agreement, the other Loan Documents and the Commitments. For the avoidance of doubt, nothing herein prohibits any individual from communicating or disclosing information regarding suspected violations of laws, rules, or regulations to a governmental, regulatory, or self-regulatory authority without any notification to any person. </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Non-Public Information</w:t>
      </w:r>
      <w:r>
        <w:rPr>
          <w:rFonts w:ascii="Times New Roman;serif" w:hAnsi="Times New Roman;serif"/>
          <w:b w:val="false"/>
          <w:color w:val="000000"/>
          <w:sz w:val="22"/>
        </w:rPr>
        <w:t>. Each of the Administrative Agent, the Lenders and the L/C Issuers acknowledges that (i) the Information may include material non-public information concerning a Loan Party or a Subsidiary, as the case may be, (ii) it has developed compliance procedures regarding the use of material non-public information and (iii) it will handle such material non-public information in accordance with Applicable Law, including United States federal and state and Canadian provincial and territorial securities Laws.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Press Releases</w:t>
      </w:r>
      <w:r>
        <w:rPr>
          <w:rFonts w:ascii="Times New Roman;serif" w:hAnsi="Times New Roman;serif"/>
          <w:b w:val="false"/>
          <w:color w:val="000000"/>
          <w:sz w:val="22"/>
        </w:rPr>
        <w:t xml:space="preserve">. The Loan Parties and their Affiliates agree that they will not in the future issue any press releases or other public disclosure using the name of the Administrative Agent or any Lender or their respective Affiliates or referring to this Agreement or any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85445"/>
                <wp:effectExtent l="0" t="0" r="0" b="0"/>
                <wp:wrapNone/>
                <wp:docPr id="182" name="Frame1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147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Loan Documents without the prior written consent of the Administrative Agent, not to be unreasonably withheld or delayed, unless (and only to the extent that) the Loan Parties or such Affiliate is required to do so under law and then, in any event, to the extent reasonably practicable and permitted under applicable law, the Loan Parties or such Affiliate will consult with such Person before issuing such press release or other public disclosure.</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Customary Advertising Material</w:t>
      </w:r>
      <w:r>
        <w:rPr>
          <w:rFonts w:ascii="Times New Roman;serif" w:hAnsi="Times New Roman;serif"/>
          <w:b w:val="false"/>
          <w:color w:val="000000"/>
          <w:sz w:val="22"/>
        </w:rPr>
        <w:t>. The Loan Parties consent to the publication by the Administrative Agent or any Lender of customary advertising material relating to the transactions contemplated hereby using the name, product photographs, logo or trademark of the Loan Parties.</w:t>
      </w:r>
    </w:p>
    <w:p>
      <w:pPr>
        <w:pStyle w:val="TextBody"/>
        <w:bidi w:val="0"/>
        <w:spacing w:lineRule="auto" w:line="240" w:before="0" w:after="240"/>
        <w:ind w:left="0" w:right="0" w:firstLine="720"/>
        <w:jc w:val="both"/>
        <w:rPr/>
      </w:pPr>
      <w:r>
        <w:rPr>
          <w:rFonts w:ascii="Times New Roman;serif" w:hAnsi="Times New Roman;serif"/>
          <w:b/>
          <w:color w:val="000000"/>
          <w:sz w:val="22"/>
        </w:rPr>
        <w:t>11.08</w:t>
      </w:r>
      <w:r>
        <w:rPr>
          <w:rFonts w:ascii="Times New Roman;serif" w:hAnsi="Times New Roman;serif"/>
          <w:b/>
          <w:color w:val="000000"/>
          <w:sz w:val="22"/>
          <w:u w:val="single"/>
        </w:rPr>
        <w:t>Right of Setoff</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If an Event of Default shall have occurred and be continuing, each Lender, each L/C Issuer and each of their respective Affiliates is hereby authorized at any time and from time to time, after obtaining the prior written consent of the Required Lenders and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any Borrower or any other Loan Party against any and all of the obligations of any Borrower or any other Loan Party now or hereafter existing under this Agreement or any other Loan Document to such Lender, such L/C Issuer or such Affiliates, irrespective of whether or not such Lender, such L/C Issuer or Affiliate shall have made any demand under this Agreement or any other Loan Document and although such obligations of such Borrower or such Loan Party may be contingent or unmatured, secured or unsecured, or are owed to a branch, office or Affiliate of such Lender or such L/C Issuer different from the branch, office or Affiliate holding such deposit or obligated on such indebtedness;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in the event that any Defaulting Lender shall exercise any such right of setoff, (a) all amounts so set off shall be paid over immediately to the Administrative Agent for further application in accordance with the provisions of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 xml:space="preserve">and, pending such payment, shall be segregated by such Defaulting Lender from its other funds and deemed held in trust for the benefit of the Administrative Agent, the L/C Issuers and the Lenders, and (b) the Defaulting Lender shall provide promptly to the Administrative Agent a statement describing in reasonable detail the Obligations and Additional Obligations owing to such Defaulting Lender as to which it exercised such right of setoff. The rights of each Lender, each L/C Issuer and their respective Affiliates under this </w:t>
      </w:r>
      <w:r>
        <w:rPr>
          <w:rFonts w:ascii="Times New Roman;serif" w:hAnsi="Times New Roman;serif"/>
          <w:b w:val="false"/>
          <w:color w:val="000000"/>
          <w:sz w:val="22"/>
          <w:u w:val="single"/>
        </w:rPr>
        <w:t>Section 11.08</w:t>
      </w:r>
      <w:r>
        <w:rPr>
          <w:color w:val="000000"/>
        </w:rPr>
        <w:t xml:space="preserve"> </w:t>
      </w:r>
      <w:r>
        <w:rPr>
          <w:rFonts w:ascii="Times New Roman;serif" w:hAnsi="Times New Roman;serif"/>
          <w:b w:val="false"/>
          <w:color w:val="000000"/>
          <w:sz w:val="22"/>
        </w:rPr>
        <w:t xml:space="preserve">are in addition to other rights and remedies (including other rights of setoff) that such Lender, such L/C Issuer or their respective Affiliates may have under Applicable Law. Each Lender and each L/C Issuer agrees to notify the Borrowers and the Administrative Agent promptly after any such setoff and application, provided that the failure to give such notice shall not affect the validity of such setoff and application. </w:t>
      </w:r>
    </w:p>
    <w:p>
      <w:pPr>
        <w:pStyle w:val="TextBody"/>
        <w:bidi w:val="0"/>
        <w:spacing w:lineRule="auto" w:line="240" w:before="0" w:after="240"/>
        <w:ind w:left="0" w:right="0" w:firstLine="720"/>
        <w:jc w:val="both"/>
        <w:rPr/>
      </w:pPr>
      <w:r>
        <w:rPr>
          <w:rFonts w:ascii="Times New Roman;serif" w:hAnsi="Times New Roman;serif"/>
          <w:b/>
          <w:color w:val="000000"/>
          <w:sz w:val="22"/>
        </w:rPr>
        <w:t>11.09</w:t>
      </w:r>
      <w:r>
        <w:rPr>
          <w:rFonts w:ascii="Times New Roman;serif" w:hAnsi="Times New Roman;serif"/>
          <w:b/>
          <w:color w:val="000000"/>
          <w:sz w:val="22"/>
          <w:u w:val="single"/>
        </w:rPr>
        <w:t>Interest Rate Limitation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Notwithstanding anything to the contrary contained in any Loan Document, the interest paid or agreed to be paid under the Loan Documents shall not exceed the maximum rate of non-usurious interest permitted by Applicable Law (the “</w:t>
      </w:r>
      <w:r>
        <w:rPr>
          <w:rFonts w:ascii="Times New Roman;serif" w:hAnsi="Times New Roman;serif"/>
          <w:b w:val="false"/>
          <w:i/>
          <w:color w:val="000000"/>
          <w:sz w:val="22"/>
          <w:u w:val="single"/>
        </w:rPr>
        <w:t>Maximum Rate</w:t>
      </w:r>
      <w:r>
        <w:rPr>
          <w:color w:val="000000"/>
        </w:rPr>
        <w:t>”</w:t>
      </w:r>
      <w:r>
        <w:rPr>
          <w:rFonts w:ascii="Times New Roman;serif" w:hAnsi="Times New Roman;serif"/>
          <w:b w:val="false"/>
          <w:color w:val="000000"/>
          <w:sz w:val="22"/>
        </w:rPr>
        <w:t>).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85445"/>
                <wp:effectExtent l="0" t="0" r="0" b="0"/>
                <wp:wrapNone/>
                <wp:docPr id="183" name="Frame1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148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11.10</w:t>
      </w:r>
      <w:r>
        <w:rPr>
          <w:rFonts w:ascii="Times New Roman;serif" w:hAnsi="Times New Roman;serif"/>
          <w:b/>
          <w:color w:val="000000"/>
          <w:sz w:val="22"/>
          <w:u w:val="single"/>
        </w:rPr>
        <w:t>Integration; Effectiveness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This Agreement, the other Loan Documents, and any separate letter agreements with respect to fees payable to the Administrative Agent or any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serif" w:hAnsi="Times New Roman;serif"/>
          <w:b w:val="false"/>
          <w:color w:val="000000"/>
          <w:sz w:val="22"/>
          <w:u w:val="single"/>
        </w:rPr>
        <w:t>Section 4.01</w:t>
      </w:r>
      <w:r>
        <w:rPr>
          <w:rFonts w:ascii="Times New Roman;serif" w:hAnsi="Times New Roman;serif"/>
          <w:b w:val="false"/>
          <w:color w:val="000000"/>
          <w:sz w:val="22"/>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permitted assigns.</w:t>
      </w:r>
    </w:p>
    <w:p>
      <w:pPr>
        <w:pStyle w:val="TextBody"/>
        <w:bidi w:val="0"/>
        <w:spacing w:lineRule="auto" w:line="240" w:before="0" w:after="240"/>
        <w:ind w:left="0" w:right="0" w:firstLine="720"/>
        <w:jc w:val="both"/>
        <w:rPr/>
      </w:pPr>
      <w:r>
        <w:rPr>
          <w:rFonts w:ascii="Times New Roman;serif" w:hAnsi="Times New Roman;serif"/>
          <w:b/>
          <w:color w:val="000000"/>
          <w:sz w:val="22"/>
        </w:rPr>
        <w:t>11.11</w:t>
      </w:r>
      <w:r>
        <w:rPr>
          <w:rFonts w:ascii="Times New Roman;serif" w:hAnsi="Times New Roman;serif"/>
          <w:b/>
          <w:color w:val="000000"/>
          <w:sz w:val="22"/>
          <w:u w:val="single"/>
        </w:rPr>
        <w:t>Survival of Representations and Warranties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pStyle w:val="TextBody"/>
        <w:bidi w:val="0"/>
        <w:spacing w:lineRule="auto" w:line="240" w:before="0" w:after="240"/>
        <w:ind w:left="0" w:right="0" w:firstLine="720"/>
        <w:jc w:val="both"/>
        <w:rPr/>
      </w:pPr>
      <w:r>
        <w:rPr>
          <w:rFonts w:ascii="Times New Roman;serif" w:hAnsi="Times New Roman;serif"/>
          <w:b/>
          <w:color w:val="000000"/>
          <w:sz w:val="22"/>
        </w:rPr>
        <w:t>11.12</w:t>
      </w:r>
      <w:r>
        <w:rPr>
          <w:rFonts w:ascii="Times New Roman;serif" w:hAnsi="Times New Roman;serif"/>
          <w:b/>
          <w:color w:val="000000"/>
          <w:sz w:val="22"/>
          <w:u w:val="single"/>
        </w:rPr>
        <w:t>Severability</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serif" w:hAnsi="Times New Roman;serif"/>
          <w:b w:val="false"/>
          <w:color w:val="000000"/>
          <w:sz w:val="22"/>
          <w:u w:val="single"/>
        </w:rPr>
        <w:t>Section 11.12</w:t>
      </w:r>
      <w:r>
        <w:rPr>
          <w:rFonts w:ascii="Times New Roman;serif" w:hAnsi="Times New Roman;serif"/>
          <w:b w:val="false"/>
          <w:color w:val="000000"/>
          <w:sz w:val="22"/>
        </w:rPr>
        <w:t>, if and to the extent that the enforceability of any provisions in this Agreement relating to Defaulting Lenders shall be limited by Debtor Relief Laws, as determined in good faith by the Administrative Agent, any L/C Issuer or the Swingline Lender, as applicable, then such provisions shall be deemed to be in effect only to the extent not so limited.</w:t>
      </w:r>
    </w:p>
    <w:p>
      <w:pPr>
        <w:pStyle w:val="TextBody"/>
        <w:bidi w:val="0"/>
        <w:spacing w:lineRule="auto" w:line="240" w:before="0" w:after="240"/>
        <w:ind w:left="0" w:right="0" w:firstLine="720"/>
        <w:jc w:val="both"/>
        <w:rPr/>
      </w:pPr>
      <w:r>
        <w:rPr>
          <w:rFonts w:ascii="Times New Roman;serif" w:hAnsi="Times New Roman;serif"/>
          <w:b/>
          <w:color w:val="000000"/>
          <w:sz w:val="22"/>
        </w:rPr>
        <w:t>11.13</w:t>
      </w:r>
      <w:r>
        <w:rPr>
          <w:rFonts w:ascii="Times New Roman;serif" w:hAnsi="Times New Roman;serif"/>
          <w:b/>
          <w:color w:val="000000"/>
          <w:sz w:val="22"/>
          <w:u w:val="single"/>
        </w:rPr>
        <w:t>Replacement of Lenders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(a)If the Borrowers are entitled to replace a Lender pursuant to the provisions of </w:t>
      </w:r>
      <w:r>
        <w:rPr>
          <w:rFonts w:ascii="Times New Roman;serif" w:hAnsi="Times New Roman;serif"/>
          <w:b w:val="false"/>
          <w:color w:val="000000"/>
          <w:sz w:val="22"/>
          <w:u w:val="single"/>
        </w:rPr>
        <w:t>Section 3.06</w:t>
      </w:r>
      <w:r>
        <w:rPr>
          <w:rFonts w:ascii="Times New Roman;serif" w:hAnsi="Times New Roman;serif"/>
          <w:b w:val="false"/>
          <w:color w:val="000000"/>
          <w:sz w:val="22"/>
        </w:rPr>
        <w:t xml:space="preserve">, or if any Lender is a Defaulting Lender or a Non-Consenting Lender or if any other circumstance exists hereunder that gives the Borrowers the right to replace a Lender as a party hereto, then the Borrowers may, at their sole expense and effort, upon notice to such Lender and the Administrative Agent, require such Lender to assign and delegate, without recourse (in accordance with and subject to the restrictions contained in, and consents required by, </w:t>
      </w:r>
      <w:r>
        <w:rPr>
          <w:rFonts w:ascii="Times New Roman;serif" w:hAnsi="Times New Roman;serif"/>
          <w:b w:val="false"/>
          <w:color w:val="000000"/>
          <w:sz w:val="22"/>
          <w:u w:val="single"/>
        </w:rPr>
        <w:t>Section 11.06</w:t>
      </w:r>
      <w:r>
        <w:rPr>
          <w:rFonts w:ascii="Times New Roman;serif" w:hAnsi="Times New Roman;serif"/>
          <w:b w:val="false"/>
          <w:color w:val="000000"/>
          <w:sz w:val="22"/>
        </w:rPr>
        <w:t xml:space="preserve">), all of its interests, rights (other than its existing rights to payments pursuant to </w:t>
      </w:r>
      <w:r>
        <w:rPr>
          <w:rFonts w:ascii="Times New Roman;serif" w:hAnsi="Times New Roman;serif"/>
          <w:b w:val="false"/>
          <w:color w:val="000000"/>
          <w:sz w:val="22"/>
          <w:u w:val="single"/>
        </w:rPr>
        <w:t>Sections 3.01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3.04</w:t>
      </w:r>
      <w:r>
        <w:rPr>
          <w:rFonts w:ascii="Times New Roman;serif" w:hAnsi="Times New Roman;serif"/>
          <w:b w:val="false"/>
          <w:color w:val="000000"/>
          <w:sz w:val="22"/>
        </w:rPr>
        <w:t xml:space="preserve">) and obligations under this Agreement and the related Loan Documents to an Eligible Assignee that shall assume such obligations (which assignee may be another Lender, if a Lender accepts such assignment),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(i)the Borrowers shall have paid (or caused a Designated Borrower to pay) to the Administrative Agent the assignment fee (if any) specified in </w:t>
      </w:r>
      <w:r>
        <w:rPr>
          <w:rFonts w:ascii="Times New Roman;serif" w:hAnsi="Times New Roman;serif"/>
          <w:b w:val="false"/>
          <w:color w:val="000000"/>
          <w:sz w:val="22"/>
          <w:u w:val="single"/>
        </w:rPr>
        <w:t>Section 11.06(b</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85445"/>
                <wp:effectExtent l="0" t="0" r="0" b="0"/>
                <wp:wrapNone/>
                <wp:docPr id="184" name="Frame1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149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serif" w:hAnsi="Times New Roman;serif"/>
          <w:b w:val="false"/>
          <w:color w:val="000000"/>
          <w:sz w:val="22"/>
          <w:u w:val="single"/>
        </w:rPr>
        <w:t>Section 3.05</w:t>
      </w:r>
      <w:r>
        <w:rPr>
          <w:rFonts w:ascii="Times New Roman;serif" w:hAnsi="Times New Roman;serif"/>
          <w:b w:val="false"/>
          <w:color w:val="000000"/>
          <w:sz w:val="22"/>
        </w:rPr>
        <w:t>) from the assignee (to the extent of such outstanding principal and accrued interest and fees) or the applicable Borrower or applicable Designated Borrower (in the case of all other amounts);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(iii)in the case of any such assignment resulting from a claim for compensation under </w:t>
      </w:r>
      <w:r>
        <w:rPr>
          <w:rFonts w:ascii="Times New Roman;serif" w:hAnsi="Times New Roman;serif"/>
          <w:b w:val="false"/>
          <w:color w:val="000000"/>
          <w:sz w:val="22"/>
          <w:u w:val="single"/>
        </w:rPr>
        <w:t>Section 3.04</w:t>
      </w:r>
      <w:r>
        <w:rPr>
          <w:color w:val="000000"/>
        </w:rPr>
        <w:t xml:space="preserve"> </w:t>
      </w:r>
      <w:r>
        <w:rPr>
          <w:rFonts w:ascii="Times New Roman;serif" w:hAnsi="Times New Roman;serif"/>
          <w:b w:val="false"/>
          <w:color w:val="000000"/>
          <w:sz w:val="22"/>
        </w:rPr>
        <w:t xml:space="preserve">or payments required to be made pursuant to </w:t>
      </w:r>
      <w:r>
        <w:rPr>
          <w:rFonts w:ascii="Times New Roman;serif" w:hAnsi="Times New Roman;serif"/>
          <w:b w:val="false"/>
          <w:color w:val="000000"/>
          <w:sz w:val="22"/>
          <w:u w:val="single"/>
        </w:rPr>
        <w:t>Section 3.01</w:t>
      </w:r>
      <w:r>
        <w:rPr>
          <w:rFonts w:ascii="Times New Roman;serif" w:hAnsi="Times New Roman;serif"/>
          <w:b w:val="false"/>
          <w:color w:val="000000"/>
          <w:sz w:val="22"/>
        </w:rPr>
        <w:t>, such assignment will result in a reduction in such compensation or payments thereafter;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(iv)such assignment does not conflict with Applicable Laws;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(v)in the case of an assignment resulting from a Lender becoming a Non-Consenting Lender, the applicable assignee shall have consented to the applicable amendment, waiver or consent.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 Lender shall not be required to make any such assignment or delegation if, prior thereto, as a result of a waiver by such Lender or otherwise, the circumstances entitling the Borrowers to require such assignment and delegation cease to apply.</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(c)Each party hereto agrees that (i) an assignment required pursuant to this </w:t>
      </w:r>
      <w:r>
        <w:rPr>
          <w:rFonts w:ascii="Times New Roman;serif" w:hAnsi="Times New Roman;serif"/>
          <w:b w:val="false"/>
          <w:color w:val="000000"/>
          <w:sz w:val="22"/>
          <w:u w:val="single"/>
        </w:rPr>
        <w:t>Section 11.13</w:t>
      </w:r>
      <w:r>
        <w:rPr>
          <w:color w:val="000000"/>
        </w:rPr>
        <w:t xml:space="preserve"> </w:t>
      </w:r>
      <w:r>
        <w:rPr>
          <w:rFonts w:ascii="Times New Roman;serif" w:hAnsi="Times New Roman;serif"/>
          <w:b w:val="false"/>
          <w:color w:val="000000"/>
          <w:sz w:val="22"/>
        </w:rPr>
        <w:t xml:space="preserve">may be effected pursuant to an Assignment and Assumption executed by the Borrowers, the Administrative Agent and the assignee and (ii) the Lender required to make such assignment need not be a party thereto in order for such assignment to be effective and shall be deemed to have consented to an be bound by the terms thereof;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 xml:space="preserve">, following the effectiveness of any such assignment, the other parties to such assignment agree to execute and deliver such documents necessary to evidence such assignment as reasonably requested by the applicable Lender, </w:t>
      </w:r>
      <w:r>
        <w:rPr>
          <w:rFonts w:ascii="Times New Roman;serif" w:hAnsi="Times New Roman;serif"/>
          <w:b w:val="false"/>
          <w:i/>
          <w:color w:val="000000"/>
          <w:sz w:val="22"/>
        </w:rPr>
        <w:t>provided further</w:t>
      </w:r>
      <w:r>
        <w:rPr>
          <w:color w:val="000000"/>
        </w:rPr>
        <w:t xml:space="preserve"> </w:t>
      </w:r>
      <w:r>
        <w:rPr>
          <w:rFonts w:ascii="Times New Roman;serif" w:hAnsi="Times New Roman;serif"/>
          <w:b w:val="false"/>
          <w:color w:val="000000"/>
          <w:sz w:val="22"/>
        </w:rPr>
        <w:t>that any such documents shall be without recourse to or warranty by the parties thereto.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(d)Notwithstanding anything in this </w:t>
      </w:r>
      <w:r>
        <w:rPr>
          <w:rFonts w:ascii="Times New Roman;serif" w:hAnsi="Times New Roman;serif"/>
          <w:b w:val="false"/>
          <w:color w:val="000000"/>
          <w:sz w:val="22"/>
          <w:u w:val="single"/>
        </w:rPr>
        <w:t>Section 11.13</w:t>
      </w:r>
      <w:r>
        <w:rPr>
          <w:color w:val="000000"/>
        </w:rPr>
        <w:t xml:space="preserve"> </w:t>
      </w:r>
      <w:r>
        <w:rPr>
          <w:rFonts w:ascii="Times New Roman;serif" w:hAnsi="Times New Roman;serif"/>
          <w:b w:val="false"/>
          <w:color w:val="000000"/>
          <w:sz w:val="22"/>
        </w:rPr>
        <w:t xml:space="preserve">to the contrary, (A) any Lender that acts as an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(B) the Lender that acts as the Administrative Agent may not be replaced hereunder except in accordance with the terms of </w:t>
      </w:r>
      <w:r>
        <w:rPr>
          <w:rFonts w:ascii="Times New Roman;serif" w:hAnsi="Times New Roman;serif"/>
          <w:b w:val="false"/>
          <w:color w:val="000000"/>
          <w:sz w:val="22"/>
          <w:u w:val="single"/>
        </w:rPr>
        <w:t>Section 9.06</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11.14</w:t>
      </w:r>
      <w:r>
        <w:rPr>
          <w:rFonts w:ascii="Times New Roman;serif" w:hAnsi="Times New Roman;serif"/>
          <w:b/>
          <w:color w:val="000000"/>
          <w:sz w:val="22"/>
          <w:u w:val="single"/>
        </w:rPr>
        <w:t>Governing Law; Jurisdiction; Etc</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SUBMISSION TO JURISDICTION</w:t>
      </w:r>
      <w:r>
        <w:rPr>
          <w:rFonts w:ascii="Times New Roman;serif" w:hAnsi="Times New Roman;serif"/>
          <w:b w:val="false"/>
          <w:color w:val="000000"/>
          <w:sz w:val="22"/>
        </w:rPr>
        <w:t xml:space="preserve">. EACH BORROWER AND EACH OTHER LOAN PARTY IRREVOCABLY AND UNCONDITIONALLY AGREES THAT IT WILL NOT COMMENCE ANY ACTION, LITIGATION OR PROCEEDING OF ANY KIND OR DESCRIPTION, WHETHER IN LAW OR EQUITY, WHETHER IN CONTRACT OR IN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85445"/>
                <wp:effectExtent l="0" t="0" r="0" b="0"/>
                <wp:wrapNone/>
                <wp:docPr id="185" name="Frame1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150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TORT OR OTHERWISE, AGAINST THE ADMINISTRATIVE AGENT,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ANY BORROWER OR ANY OTHER LOAN PARTY OR ITS PROPERTIES IN THE COURTS OF ANY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WAIVER OF VENUE</w:t>
      </w:r>
      <w:r>
        <w:rPr>
          <w:rFonts w:ascii="Times New Roman;serif" w:hAnsi="Times New Roman;serif"/>
          <w:b w:val="false"/>
          <w:color w:val="000000"/>
          <w:sz w:val="22"/>
        </w:rPr>
        <w:t xml:space="preserve">.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serif" w:hAnsi="Times New Roman;serif"/>
          <w:b w:val="false"/>
          <w:color w:val="000000"/>
          <w:sz w:val="22"/>
          <w:u w:val="single"/>
        </w:rPr>
        <w:t>CLAUSE (b</w:t>
      </w:r>
      <w:r>
        <w:rPr>
          <w:rFonts w:ascii="Times New Roman;serif" w:hAnsi="Times New Roman;serif"/>
          <w:b w:val="false"/>
          <w:color w:val="000000"/>
          <w:sz w:val="22"/>
        </w:rPr>
        <w:t xml:space="preserve">) OF THIS </w:t>
      </w:r>
      <w:r>
        <w:rPr>
          <w:rFonts w:ascii="Times New Roman;serif" w:hAnsi="Times New Roman;serif"/>
          <w:b w:val="false"/>
          <w:color w:val="000000"/>
          <w:sz w:val="22"/>
          <w:u w:val="single"/>
        </w:rPr>
        <w:t>SECTION 11.14</w:t>
      </w:r>
      <w:r>
        <w:rPr>
          <w:rFonts w:ascii="Times New Roman;serif" w:hAnsi="Times New Roman;serif"/>
          <w:b w:val="false"/>
          <w:color w:val="000000"/>
          <w:sz w:val="22"/>
        </w:rPr>
        <w:t>. EACH PARTY HERETO IRREVOCABLY AND UNCONDITIONALLY WAIVES, TO THE FULLEST EXTENT PERMITTED BY APPLICABLE LAW, THE DEFENSE OF AN INCONVENIENT FORUM TO THE MAINTENANCE OF SUCH ACTION OR PROCEEDING IN ANY SUCH COURT.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SERVICE OF PROCESS</w:t>
      </w:r>
      <w:r>
        <w:rPr>
          <w:rFonts w:ascii="Times New Roman;serif" w:hAnsi="Times New Roman;serif"/>
          <w:b w:val="false"/>
          <w:color w:val="000000"/>
          <w:sz w:val="22"/>
        </w:rPr>
        <w:t xml:space="preserve">. EACH PARTY HERETO IRREVOCABLY CONSENTS TO SERVICE OF PROCESS IN THE MANNER PROVIDED FOR NOTICES IN </w:t>
      </w:r>
      <w:r>
        <w:rPr>
          <w:rFonts w:ascii="Times New Roman;serif" w:hAnsi="Times New Roman;serif"/>
          <w:b w:val="false"/>
          <w:color w:val="000000"/>
          <w:sz w:val="22"/>
          <w:u w:val="single"/>
        </w:rPr>
        <w:t>SECTION 11.02</w:t>
      </w:r>
      <w:r>
        <w:rPr>
          <w:rFonts w:ascii="Times New Roman;serif" w:hAnsi="Times New Roman;serif"/>
          <w:b w:val="false"/>
          <w:color w:val="000000"/>
          <w:sz w:val="22"/>
        </w:rPr>
        <w:t>. NOTHING IN THIS AGREEMENT WILL AFFECT THE RIGHT OF ANY PARTY HERETO TO SERVE PROCESS IN ANY OTHER MANNER PERMITTED BY APPLICABLE LAW.</w:t>
      </w:r>
    </w:p>
    <w:p>
      <w:pPr>
        <w:pStyle w:val="TextBody"/>
        <w:bidi w:val="0"/>
        <w:spacing w:lineRule="auto" w:line="240" w:before="0" w:after="240"/>
        <w:ind w:left="0" w:right="0" w:firstLine="720"/>
        <w:jc w:val="both"/>
        <w:rPr/>
      </w:pPr>
      <w:r>
        <w:rPr>
          <w:rFonts w:ascii="Times New Roman;serif" w:hAnsi="Times New Roman;serif"/>
          <w:b/>
          <w:color w:val="000000"/>
          <w:sz w:val="22"/>
        </w:rPr>
        <w:t>11.15</w:t>
      </w:r>
      <w:r>
        <w:rPr>
          <w:rFonts w:ascii="Times New Roman;serif" w:hAnsi="Times New Roman;serif"/>
          <w:b/>
          <w:color w:val="000000"/>
          <w:sz w:val="22"/>
          <w:u w:val="single"/>
        </w:rPr>
        <w:t>Waiver of Jury Trial</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serif" w:hAnsi="Times New Roman;serif"/>
          <w:b w:val="false"/>
          <w:color w:val="000000"/>
          <w:sz w:val="22"/>
          <w:u w:val="single"/>
        </w:rPr>
        <w:t>SECTION 11.15</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85445"/>
                <wp:effectExtent l="0" t="0" r="0" b="0"/>
                <wp:wrapNone/>
                <wp:docPr id="186" name="Frame1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151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11.16</w:t>
      </w:r>
      <w:r>
        <w:rPr>
          <w:rFonts w:ascii="Times New Roman;serif" w:hAnsi="Times New Roman;serif"/>
          <w:b/>
          <w:color w:val="000000"/>
          <w:sz w:val="22"/>
          <w:u w:val="single"/>
        </w:rPr>
        <w:t>Subordination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Each Loan Party (a “</w:t>
      </w:r>
      <w:r>
        <w:rPr>
          <w:rFonts w:ascii="Times New Roman;serif" w:hAnsi="Times New Roman;serif"/>
          <w:b w:val="false"/>
          <w:i/>
          <w:color w:val="000000"/>
          <w:sz w:val="22"/>
          <w:u w:val="single"/>
        </w:rPr>
        <w:t>Subordinating Loan Party</w:t>
      </w:r>
      <w:r>
        <w:rPr>
          <w:color w:val="000000"/>
        </w:rPr>
        <w:t>”</w:t>
      </w:r>
      <w:r>
        <w:rPr>
          <w:rFonts w:ascii="Times New Roman;serif" w:hAnsi="Times New Roman;serif"/>
          <w:b w:val="false"/>
          <w:color w:val="000000"/>
          <w:sz w:val="22"/>
        </w:rPr>
        <w:t xml:space="preserve">) hereby subordinates the payment of all obligations and indebtedness of any other Loan Party owing to it, whether now existing or hereafter arising, including but not limited to any obligation of any such other Loan Party to the Subordinating Loan Party as subrogee of the Lender Parties or resulting from such Subordinating Loan Party’s performance under this Guaranty, to the indefeasible payment in full in cash of all Obligations. If the Lender Parties so request, any such obligation or indebtedness of any such other Loan Party to the Subordinating Loan Party shall be enforced and performance received by the Subordinating Loan Party as trustee for the Lender Parties and the proceeds thereof shall be paid over to the Lender Parties on account of the Obligations and Additional Obligations, but without reducing or affecting in any manner the liability of the Subordinating Loan Party under this Agreement. Without limitation of the foregoing, so long as no Event of Default has occurred and is continuing, the Loan Parties may make and receive payments with respect to Indebtedness owed among them;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in the event that any Loan Party receives any payment of any such Indebtedness at a time when such payment is prohibited by this </w:t>
      </w:r>
      <w:r>
        <w:rPr>
          <w:rFonts w:ascii="Times New Roman;serif" w:hAnsi="Times New Roman;serif"/>
          <w:b w:val="false"/>
          <w:color w:val="000000"/>
          <w:sz w:val="22"/>
          <w:u w:val="single"/>
        </w:rPr>
        <w:t>Section 11.16</w:t>
      </w:r>
      <w:r>
        <w:rPr>
          <w:rFonts w:ascii="Times New Roman;serif" w:hAnsi="Times New Roman;serif"/>
          <w:b w:val="false"/>
          <w:color w:val="000000"/>
          <w:sz w:val="22"/>
        </w:rPr>
        <w:t>, such payment shall be held by such Loan Party, in trust for the benefit of, and shall be paid forthwith over and delivered, upon written request, to the Administrative Agent.</w:t>
      </w:r>
    </w:p>
    <w:p>
      <w:pPr>
        <w:pStyle w:val="TextBody"/>
        <w:bidi w:val="0"/>
        <w:spacing w:lineRule="auto" w:line="240" w:before="0" w:after="240"/>
        <w:ind w:left="0" w:right="0" w:firstLine="720"/>
        <w:jc w:val="both"/>
        <w:rPr/>
      </w:pPr>
      <w:r>
        <w:rPr>
          <w:rFonts w:ascii="Times New Roman;serif" w:hAnsi="Times New Roman;serif"/>
          <w:b/>
          <w:color w:val="000000"/>
          <w:sz w:val="22"/>
        </w:rPr>
        <w:t>11.17</w:t>
      </w:r>
      <w:r>
        <w:rPr>
          <w:rFonts w:ascii="Times New Roman;serif" w:hAnsi="Times New Roman;serif"/>
          <w:b/>
          <w:color w:val="000000"/>
          <w:sz w:val="22"/>
          <w:u w:val="single"/>
        </w:rPr>
        <w:t>No Advisory or Fiduciary Responsibility</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connection with all aspects of each transaction contemplated hereby (including in connection with any amendment, waiver or other modification hereof or of any other Loan Document), each Borrower and each other Loan Party acknowledges and agrees, and acknowledges its Affiliates’ understanding, that: (a) (i) the arranging and other services regarding this Agreement provided by the Administrative Agent, the Arranger and the Lenders and their respective Affiliates are arm’s-length commercial transactions between each Borrower, each other Loan Party and their respective Affiliates, on the one hand, and the Administrative Agent, the Arranger and the Lenders and their respective Affiliates, on the other hand, (ii) each of the Borrowers and the other Loan Parties has consulted its own legal, accounting, regulatory and tax advisors to the extent it has deemed appropriate, and (iii) each Borrower and each other Loan Party is capable of evaluating, and understands and accepts, the terms, risks and conditions of the transactions contemplated hereby and by the other Loan Documents; (b) (i) the Administrative Agent, the Arranger and each Lender and each of their respective Affiliates each is and has been acting solely as a principal and, except as expressly agreed in writing by the relevant parties, has not been, is not, and will not be acting as an advisor, agent or fiduciary, for any Borrower, any other Loan Party or any of their respective Affiliates, or any other Person and (ii) neither the Administrative Agent, the Arranger, nor any Lender nor any of their respective Affiliates has any obligation to any Borrower, any other Loan Party or any of their respective Affiliates with respect to the transactions contemplated hereby except those obligations expressly set forth herein and in the other Loan Documents; and (c) the Administrative Agent, the Arranger and the Lenders and their respective Affiliates may be engaged in a broad range of transactions that involve interests that differ from those of each Borrower, the other Loan Parties and their respective Affiliates, and neither the Administrative Agent, the Arranger, nor any Lender nor any of their respective Affiliates has any obligation to disclose any of such interests to any Borrower, any other Loan Party or any of their respective Affiliates. To the fullest extent permitted by law, each of each Borrower and each other Loan Party hereby waives and releases any claims that it may have against the Administrative Agent, the Arranger, the Lenders and their respective Affiliates with respect to any breach or alleged breach of agency or fiduciary duty in connection with any aspect of any transactions contemplated hereby.</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85445"/>
                <wp:effectExtent l="0" t="0" r="0" b="0"/>
                <wp:wrapNone/>
                <wp:docPr id="187" name="Frame1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152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11.18</w:t>
      </w:r>
      <w:r>
        <w:rPr>
          <w:rFonts w:ascii="Times New Roman;serif" w:hAnsi="Times New Roman;serif"/>
          <w:b/>
          <w:color w:val="000000"/>
          <w:sz w:val="22"/>
          <w:u w:val="single"/>
        </w:rPr>
        <w:t>Electronic Execution; Electronic Records; Counterparts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Agreement, any Loan Document and any other Communication, including Communications required to be in writing, may be in the form of an Electronic Record and may be executed using Electronic Signatures. Each of the Loan Parties and each of the Administrative Agent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w:t>
      </w:r>
      <w:r>
        <w:rPr>
          <w:rFonts w:ascii="Times New Roman;serif" w:hAnsi="Times New Roman;serif"/>
          <w:b w:val="false"/>
          <w:color w:val="000000"/>
          <w:sz w:val="22"/>
          <w:u w:val="single"/>
        </w:rPr>
        <w:t>Electronic Copy</w:t>
      </w:r>
      <w:r>
        <w:rPr>
          <w:color w:val="000000"/>
        </w:rPr>
        <w:t>”</w:t>
      </w:r>
      <w:r>
        <w:rPr>
          <w:rFonts w:ascii="Times New Roman;serif" w:hAnsi="Times New Roman;serif"/>
          <w:b w:val="false"/>
          <w:color w:val="000000"/>
          <w:sz w:val="22"/>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L/C Issuer nor Swingline Lender is under any obligation to accept an Electronic Signature in any form or in any format unless expressly agreed to by such Person pursuant to procedures approved by it; provided, further, without limiting the foregoing, (a) to the extent the Administrative Agent, L/C Issuer and/or Swingline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regardless of the appearance or form of such Electronic Signature, and (b) upon the request of the Administrative Agent or any Lender Party, any Communication executed using an Electronic Signature shall be promptly followed by a manually executed counterpart.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Neither the Administrative Agent, L/C Issuer nor Swingline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L/C Issuer’s or Swingline Lender’s reliance on any Electronic Signature transmitted by telecopy, emailed .pdf or any other electronic means). The Administrative Agent, L/C Issuer and Swingline Lender shall be entitled to rely on, and shall incur no liability under or in respect of this Agreement or any other Loan Document by acting upon, any Communication or any statement made to it orally or by telephone and believed by it to be genuine and signed or sent or otherwise authenticated (whether or not such Person in fact meets the requirements set forth in the Loan Documents for being the maker thereof).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Each of the Loan Parties and each Lender Party hereby waives (i) any argument, defense or right to contest the legal effect, validity or enforceability of this Agreement, any other Loan Document based solely on the lack of paper original copies of this Agreement, such other Loan Document, and (ii)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the Loan Parties to use any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85445"/>
                <wp:effectExtent l="0" t="0" r="0" b="0"/>
                <wp:wrapNone/>
                <wp:docPr id="188" name="Frame1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153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available security measures in connection with the execution, delivery or transmission of any Electronic Signature.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of the Loan Parties and each Lender Party represents and warrants to the other parties that it has the corporate capacity and authority to execute this Agreement and any other Communication through electronic means and there are no restrictions on doing so in that party’s constitutive documents.</w:t>
      </w:r>
    </w:p>
    <w:p>
      <w:pPr>
        <w:pStyle w:val="TextBody"/>
        <w:bidi w:val="0"/>
        <w:spacing w:lineRule="auto" w:line="240" w:before="0" w:after="240"/>
        <w:ind w:left="0" w:right="0" w:firstLine="720"/>
        <w:jc w:val="both"/>
        <w:rPr/>
      </w:pPr>
      <w:r>
        <w:rPr>
          <w:rFonts w:ascii="Times New Roman;serif" w:hAnsi="Times New Roman;serif"/>
          <w:b/>
          <w:color w:val="000000"/>
          <w:sz w:val="22"/>
        </w:rPr>
        <w:t>11.19</w:t>
      </w:r>
      <w:r>
        <w:rPr>
          <w:rFonts w:ascii="Times New Roman;serif" w:hAnsi="Times New Roman;serif"/>
          <w:b/>
          <w:color w:val="000000"/>
          <w:sz w:val="22"/>
          <w:u w:val="single"/>
        </w:rPr>
        <w:t>USA Patriot Act Notice</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Each Lender that is subject to the Patriot Act and the Administrative Agent (for itself and not on behalf of any Lender) hereby notifies the Loan Parties that pursuant to the requirements of the USA PATRIOT Act (Title III of Pub. L. 107–56 (signed into law October 26, 2001)) (the “</w:t>
      </w:r>
      <w:r>
        <w:rPr>
          <w:rFonts w:ascii="Times New Roman;serif" w:hAnsi="Times New Roman;serif"/>
          <w:b w:val="false"/>
          <w:i/>
          <w:color w:val="000000"/>
          <w:sz w:val="22"/>
          <w:u w:val="single"/>
        </w:rPr>
        <w:t>Patriot Act</w:t>
      </w:r>
      <w:r>
        <w:rPr>
          <w:color w:val="000000"/>
        </w:rPr>
        <w:t>”</w:t>
      </w:r>
      <w:r>
        <w:rPr>
          <w:rFonts w:ascii="Times New Roman;serif" w:hAnsi="Times New Roman;serif"/>
          <w:b w:val="false"/>
          <w:color w:val="000000"/>
          <w:sz w:val="22"/>
        </w:rPr>
        <w:t>), it is required to obtain, verify and record information that identifies the Borrowers and each other Loan Party, which information includes the name and address of the Borrowers and each other Loan Party and other information that will allow such Lender or the Administrative Agent, as applicable, to identify the Borrowers and each other Loan Party in accordance with the Patriot Act. The Borrowers and each other Loan Party shall, promptly following a request by the Administrative Agent or any Lender, provide all such other documentation and information that the Administrative Agent or such Lender requests in order to comply with its ongoing obligations under applicable “know your customer” and anti-money laundering rules and regulations, including the Patriot Act.</w:t>
      </w:r>
    </w:p>
    <w:p>
      <w:pPr>
        <w:pStyle w:val="TextBody"/>
        <w:bidi w:val="0"/>
        <w:spacing w:lineRule="auto" w:line="240" w:before="0" w:after="240"/>
        <w:ind w:left="0" w:right="0" w:firstLine="720"/>
        <w:jc w:val="both"/>
        <w:rPr/>
      </w:pPr>
      <w:r>
        <w:rPr>
          <w:rFonts w:ascii="Times New Roman;serif" w:hAnsi="Times New Roman;serif"/>
          <w:b/>
          <w:color w:val="000000"/>
          <w:sz w:val="22"/>
        </w:rPr>
        <w:t>11.20</w:t>
      </w:r>
      <w:r>
        <w:rPr>
          <w:rFonts w:ascii="Times New Roman;serif" w:hAnsi="Times New Roman;serif"/>
          <w:b/>
          <w:color w:val="000000"/>
          <w:sz w:val="22"/>
          <w:u w:val="single"/>
        </w:rPr>
        <w:t>Acknowledgement and Consent to Bail-In of Affected Financial Institutions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an applicable Resolution Authority and agrees and consents to, and acknowledges and agrees to be bound by: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application of any Write-Down and Conversion Powers by an Affected Resolution Authority to any such liabilities arising hereunder which may be payable to it by any Lender or L/C Issuer that is an Affected Financial Institution;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(b)the effects of any Bail-In Action on any such liability, including, if applicable: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 reduction in full or in part or cancellation of any such liability;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(iii)the variation of the terms of such liability in connection with the exercise of the Write-Down and Conversion Powers of the applicable Resolution Authority.</w:t>
      </w:r>
    </w:p>
    <w:p>
      <w:pPr>
        <w:pStyle w:val="TextBody"/>
        <w:bidi w:val="0"/>
        <w:spacing w:lineRule="auto" w:line="240" w:before="0" w:after="240"/>
        <w:ind w:left="0" w:right="0" w:firstLine="720"/>
        <w:jc w:val="both"/>
        <w:rPr/>
      </w:pPr>
      <w:r>
        <w:rPr>
          <w:rFonts w:ascii="Times New Roman;serif" w:hAnsi="Times New Roman;serif"/>
          <w:b/>
          <w:color w:val="000000"/>
          <w:sz w:val="22"/>
        </w:rPr>
        <w:t>11.21</w:t>
      </w:r>
      <w:r>
        <w:rPr>
          <w:rFonts w:ascii="Times New Roman;serif" w:hAnsi="Times New Roman;serif"/>
          <w:b/>
          <w:color w:val="000000"/>
          <w:sz w:val="22"/>
          <w:u w:val="single"/>
        </w:rPr>
        <w:t>Acknowledgement Regarding Any Supported QFCs</w:t>
      </w:r>
      <w:r>
        <w:rPr>
          <w:rFonts w:ascii="Times New Roman;serif" w:hAnsi="Times New Roman;serif"/>
          <w:b w:val="false"/>
          <w:color w:val="000000"/>
          <w:sz w:val="22"/>
        </w:rPr>
        <w:t>.</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To the extent that the Loan Documents provide support, through a guarantee or otherwise, for any Swap Contract or any other agreement or instrument that is a QFC (such support, “</w:t>
      </w:r>
      <w:r>
        <w:rPr>
          <w:rFonts w:ascii="Times New Roman;serif" w:hAnsi="Times New Roman;serif"/>
          <w:b w:val="false"/>
          <w:i/>
          <w:color w:val="000000"/>
          <w:sz w:val="22"/>
          <w:u w:val="single"/>
        </w:rPr>
        <w:t>QFC Credit Support</w:t>
      </w:r>
      <w:r>
        <w:rPr>
          <w:color w:val="000000"/>
        </w:rPr>
        <w:t>”</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85445"/>
                <wp:effectExtent l="0" t="0" r="0" b="0"/>
                <wp:wrapNone/>
                <wp:docPr id="189" name="Frame1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154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154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and each such QFC, a “</w:t>
      </w:r>
      <w:r>
        <w:rPr>
          <w:rFonts w:ascii="Times New Roman;serif" w:hAnsi="Times New Roman;serif"/>
          <w:b w:val="false"/>
          <w:i/>
          <w:color w:val="000000"/>
          <w:sz w:val="22"/>
          <w:u w:val="single"/>
        </w:rPr>
        <w:t>Supported QFC</w:t>
      </w:r>
      <w:r>
        <w:rPr>
          <w:color w:val="000000"/>
        </w:rPr>
        <w:t>”</w:t>
      </w:r>
      <w:r>
        <w:rPr>
          <w:rFonts w:ascii="Times New Roman;serif" w:hAnsi="Times New Roman;serif"/>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val="false"/>
          <w:i/>
          <w:color w:val="000000"/>
          <w:sz w:val="22"/>
          <w:u w:val="single"/>
        </w:rPr>
        <w:t>U.S. Special Resolution Regimes</w:t>
      </w:r>
      <w:r>
        <w:rPr>
          <w:color w:val="000000"/>
        </w:rPr>
        <w:t>”</w:t>
      </w:r>
      <w:r>
        <w:rPr>
          <w:rFonts w:ascii="Times New Roman;serif" w:hAnsi="Times New Roman;serif"/>
          <w:b w:val="false"/>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serif" w:hAnsi="Times New Roman;serif"/>
          <w:b w:val="false"/>
          <w:i/>
          <w:color w:val="000000"/>
          <w:sz w:val="22"/>
          <w:u w:val="single"/>
        </w:rPr>
        <w:t>Covered Party</w:t>
      </w:r>
      <w:r>
        <w:rPr>
          <w:color w:val="000000"/>
        </w:rPr>
        <w:t>”</w:t>
      </w:r>
      <w:r>
        <w:rPr>
          <w:rFonts w:ascii="Times New Roman;serif" w:hAnsi="Times New Roman;serif"/>
          <w:b w:val="false"/>
          <w:color w:val="000000"/>
          <w:sz w:val="22"/>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lineRule="auto" w:line="240" w:before="0" w:after="240"/>
        <w:ind w:left="0" w:right="0" w:firstLine="720"/>
        <w:jc w:val="both"/>
        <w:rPr/>
      </w:pPr>
      <w:r>
        <w:rPr>
          <w:rFonts w:ascii="Times New Roman;serif" w:hAnsi="Times New Roman;serif"/>
          <w:b/>
          <w:color w:val="000000"/>
          <w:sz w:val="22"/>
        </w:rPr>
        <w:t>11.22</w:t>
      </w:r>
      <w:r>
        <w:rPr>
          <w:rFonts w:ascii="Times New Roman;serif" w:hAnsi="Times New Roman;serif"/>
          <w:b/>
          <w:color w:val="000000"/>
          <w:sz w:val="22"/>
          <w:u w:val="single"/>
        </w:rPr>
        <w:t>Time of the Essence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Time is of the essence of the Loan Documents.</w:t>
      </w:r>
    </w:p>
    <w:p>
      <w:pPr>
        <w:pStyle w:val="TextBody"/>
        <w:bidi w:val="0"/>
        <w:spacing w:lineRule="auto" w:line="240" w:before="0" w:after="240"/>
        <w:ind w:left="0" w:right="0" w:firstLine="720"/>
        <w:jc w:val="both"/>
        <w:rPr/>
      </w:pPr>
      <w:r>
        <w:rPr>
          <w:rFonts w:ascii="Times New Roman;serif" w:hAnsi="Times New Roman;serif"/>
          <w:b/>
          <w:color w:val="000000"/>
          <w:sz w:val="22"/>
        </w:rPr>
        <w:t>11.23</w:t>
      </w:r>
      <w:r>
        <w:rPr>
          <w:rFonts w:ascii="Times New Roman;serif" w:hAnsi="Times New Roman;serif"/>
          <w:b/>
          <w:color w:val="000000"/>
          <w:sz w:val="22"/>
          <w:u w:val="single"/>
        </w:rPr>
        <w:t>Judgment Currency</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Loan Party in respect of any such sum due from it to the Administrative Agent or any Lender hereunder or under the other Loan Documents shall, notwithstanding any judgment in a currency (the “</w:t>
      </w:r>
      <w:r>
        <w:rPr>
          <w:rFonts w:ascii="Times New Roman;serif" w:hAnsi="Times New Roman;serif"/>
          <w:b w:val="false"/>
          <w:i/>
          <w:color w:val="000000"/>
          <w:sz w:val="22"/>
          <w:u w:val="single"/>
        </w:rPr>
        <w:t>Judgment Currency</w:t>
      </w:r>
      <w:r>
        <w:rPr>
          <w:color w:val="000000"/>
        </w:rPr>
        <w:t>”</w:t>
      </w:r>
      <w:r>
        <w:rPr>
          <w:rFonts w:ascii="Times New Roman;serif" w:hAnsi="Times New Roman;serif"/>
          <w:b w:val="false"/>
          <w:color w:val="000000"/>
          <w:sz w:val="22"/>
        </w:rPr>
        <w:t>) other than that in which such sum is denominated in accordance with the applicable provisions of this Agreement (the “</w:t>
      </w:r>
      <w:r>
        <w:rPr>
          <w:rFonts w:ascii="Times New Roman;serif" w:hAnsi="Times New Roman;serif"/>
          <w:b w:val="false"/>
          <w:i/>
          <w:color w:val="000000"/>
          <w:sz w:val="22"/>
          <w:u w:val="single"/>
        </w:rPr>
        <w:t>Agreement Currency</w:t>
      </w:r>
      <w:r>
        <w:rPr>
          <w:color w:val="000000"/>
        </w:rPr>
        <w:t>”</w:t>
      </w:r>
      <w:r>
        <w:rPr>
          <w:rFonts w:ascii="Times New Roman;serif" w:hAnsi="Times New Roman;serif"/>
          <w:b w:val="false"/>
          <w:color w:val="000000"/>
          <w:sz w:val="22"/>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Loan Party in the Agreement Currency, such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Loan Party (or to any other Person who may be entitled thereto under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85445"/>
                <wp:effectExtent l="0" t="0" r="0" b="0"/>
                <wp:wrapNone/>
                <wp:docPr id="190" name="Frame1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155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11.24</w:t>
      </w:r>
      <w:r>
        <w:rPr>
          <w:rFonts w:ascii="Times New Roman;serif" w:hAnsi="Times New Roman;serif"/>
          <w:b/>
          <w:color w:val="000000"/>
          <w:sz w:val="22"/>
          <w:u w:val="single"/>
        </w:rPr>
        <w:t>ENTIRE AGREEMENT</w:t>
      </w:r>
      <w:r>
        <w:rPr>
          <w:rFonts w:ascii="Times New Roman;serif" w:hAnsi="Times New Roman;serif"/>
          <w:b w:val="false"/>
          <w:color w:val="000000"/>
          <w:sz w:val="22"/>
        </w:rPr>
        <w:t xml:space="preserve">.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AGREEMENT AND THE OTHER LOAN DOCUMENTS REPRESENT THE FINAL AGREEMENT AMONG THE PARTIES AND MAY NOT BE CONTRADICTED BY EVIDENCE OF PRIOR, CONTEMPORANEOUS, OR SUBSEQUENT ORAL AGREEMENTS OF THE PARTIES. THERE ARE NO UNWRITTEN ORAL AGREEMENTS AMONG THE PARTIES.</w:t>
      </w:r>
    </w:p>
    <w:p>
      <w:pPr>
        <w:pStyle w:val="TextBody"/>
        <w:bidi w:val="0"/>
        <w:spacing w:lineRule="auto" w:line="240" w:before="0" w:after="240"/>
        <w:ind w:left="0" w:right="0" w:firstLine="720"/>
        <w:jc w:val="both"/>
        <w:rPr/>
      </w:pPr>
      <w:r>
        <w:rPr>
          <w:rFonts w:ascii="Times New Roman;serif" w:hAnsi="Times New Roman;serif"/>
          <w:b/>
          <w:color w:val="000000"/>
          <w:sz w:val="22"/>
        </w:rPr>
        <w:t>11.25</w:t>
      </w:r>
      <w:r>
        <w:rPr>
          <w:rFonts w:ascii="Times New Roman;serif" w:hAnsi="Times New Roman;serif"/>
          <w:b/>
          <w:color w:val="000000"/>
          <w:sz w:val="22"/>
          <w:u w:val="single"/>
        </w:rPr>
        <w:t>Borrower Representative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Appointment of Borrower Representative; Nature of Relationship</w:t>
      </w:r>
      <w:r>
        <w:rPr>
          <w:rFonts w:ascii="Times New Roman;serif" w:hAnsi="Times New Roman;serif"/>
          <w:b w:val="false"/>
          <w:color w:val="000000"/>
          <w:sz w:val="22"/>
        </w:rPr>
        <w:t xml:space="preserve">. The Company is hereby appointed by each Borrower and each other Loan Party as its contractual representative hereunder and under each other Loan Document, and each Loan Party irrevocably authorizes the Company to act as the contractual representative or agent on its own behalf and on behalf of another party as well as in relation to acting for two or more parties, as may be imposed by any applicable local laws of any relevant jurisdictions, as attorney-in-fact for all Loan Parties, which appointment shall remain in full force and effect unless and until the Administrative Agent shall have received prior written notice signed by each Loan Party that such appointment has been revoked and that another Borrower has been appointed to replace the Company as Borrower Representative, with the rights and duties expressly set forth herein and in the other Loan Documents.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(i)The Company agrees to act as such contractual representative, agent or attorney-in-fact upon the express conditions contained in this Section 11.25. Additionally, each Borrower hereby appoints the Company as its agent to receive and direct all Loans, at which time the Borrower Representative shall promptly disburse such Loans to the appropriate Borrower. Each Loan Party acknowledges and agrees that the Administrative Agent, the Lenders, and their respective officers, directors, agents and employees shall be entitled to rely on all actions and other matters taken by the Company on such Loan Party’s behalf for all purpsoes of this Agreement and the other Loan Documents to the same extent, and with the same effect, as though such action or other matter had been performed or taken directly by such Loan Party. None of the Administrative Agent, Lenders or their respective officers, directors, agents or employees shall be liable to the Company or any Loan Party for any action taken or omitted to be taken by the Company or the Loan Parties pursuant to this Section 11.25.</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Powers</w:t>
      </w:r>
      <w:r>
        <w:rPr>
          <w:rFonts w:ascii="Times New Roman;serif" w:hAnsi="Times New Roman;serif"/>
          <w:b w:val="false"/>
          <w:color w:val="000000"/>
          <w:sz w:val="22"/>
        </w:rPr>
        <w:t>. The Company shall have and may exercise such powers under the Loan Documents as are specifically delegated to the Borrowers or any Borrower by the terms of each thereof, together with such powers as are reasonably incidental thereto, including, without limitation, the Company may execute such documents on behalf of any Loan Party as the Company’s agent as the Company deems appropriate in its sole discretion, including any amendments, confirmations, waivers or modifications to the Loan Documents and any confirmation of guaranty or other obligations under the Loan Documents. The Company shall have no implied duties to any Loan Party, or any obligation to the Lenders to take any action thereunder except any action specifically provided by the Loan Documents to be taken by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Execution of Loan Documents</w:t>
      </w:r>
      <w:r>
        <w:rPr>
          <w:rFonts w:ascii="Times New Roman;serif" w:hAnsi="Times New Roman;serif"/>
          <w:b w:val="false"/>
          <w:color w:val="000000"/>
          <w:sz w:val="22"/>
        </w:rPr>
        <w:t xml:space="preserve">. Each Loan Party hereby empowers and authorizes the Company, on behalf of such Loan Party, to execute and deliver to the Administrative Agent and the Lenders the Loan Documents and all related amendments, waivers, agreements, certificates, documents, or instruments as shall be necessary or appropriate to effect the purposes of the Loan Documents. Each Loan Party agrees that any action taken by the Company in accordance with the terms of this Agreement or the other Loan Documents, and the exercise by the Company of its powers set forth therein or herein, together with such other powers that are reasonably incidental thereto, shall be binding upon all of the Loan Parties. </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Joint and Several Obligations</w:t>
      </w:r>
      <w:r>
        <w:rPr>
          <w:rFonts w:ascii="Times New Roman;serif" w:hAnsi="Times New Roman;serif"/>
          <w:b w:val="false"/>
          <w:color w:val="000000"/>
          <w:sz w:val="22"/>
        </w:rPr>
        <w:t xml:space="preserve">. Each Borrower acknowledges and agrees that, whether or not expressly stated in this Agreement or the other Loan Documents, all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85445"/>
                <wp:effectExtent l="0" t="0" r="0" b="0"/>
                <wp:wrapNone/>
                <wp:docPr id="191" name="Frame1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156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Obligations of such Borrower as provided herein shall constitute the joint and several obligations of the Borrowers arising under or pursuant to this Agreement and the other Loan Documents.</w:t>
      </w:r>
    </w:p>
    <w:p>
      <w:pPr>
        <w:pStyle w:val="TextBody"/>
        <w:bidi w:val="0"/>
        <w:spacing w:lineRule="auto" w:line="240" w:before="0" w:after="240"/>
        <w:ind w:left="0" w:right="0" w:firstLine="720"/>
        <w:jc w:val="both"/>
        <w:rPr/>
      </w:pPr>
      <w:r>
        <w:rPr>
          <w:rFonts w:ascii="Times New Roman;serif" w:hAnsi="Times New Roman;serif"/>
          <w:b/>
          <w:color w:val="000000"/>
          <w:sz w:val="22"/>
        </w:rPr>
        <w:t>11.26</w:t>
      </w:r>
      <w:r>
        <w:rPr>
          <w:rFonts w:ascii="Times New Roman;serif" w:hAnsi="Times New Roman;serif"/>
          <w:b/>
          <w:color w:val="000000"/>
          <w:sz w:val="22"/>
          <w:u w:val="single"/>
        </w:rPr>
        <w:t>Amendment and Restatement of Existing Credit Agreement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(a)On the Closing Date, this Agreement shall supersede the Existing Credit Agreement in its entirety, but, for the avoidance of doubt, shall not constitute a novation of the parties’ rights and obligations thereunder. On the Closing Date, the rights and obligations of the parties hereto evidenced by the Existing Credit Agreement shall be evidenced by this Agreement and the other Loan Documents, the “Loans” and “Letters of Credit” as each is defined in the Existing Credit Agreement shall be continued under this Agreement for the account of the Borrowers, and shall bear interest and be subject to such other fees as set forth in this Agreement.</w:t>
      </w:r>
    </w:p>
    <w:p>
      <w:pPr>
        <w:pStyle w:val="TextBody"/>
        <w:bidi w:val="0"/>
        <w:spacing w:lineRule="auto" w:line="288" w:before="0" w:after="240"/>
        <w:jc w:val="center"/>
        <w:rPr/>
      </w:pPr>
      <w:r>
        <w:rPr>
          <w:rFonts w:ascii="Times New Roman;serif" w:hAnsi="Times New Roman;serif"/>
          <w:b w:val="false"/>
          <w:color w:val="000000"/>
          <w:sz w:val="22"/>
        </w:rPr>
        <w:t>[</w:t>
      </w:r>
      <w:r>
        <w:rPr>
          <w:rFonts w:ascii="Times New Roman;serif" w:hAnsi="Times New Roman;serif"/>
          <w:b/>
          <w:color w:val="000000"/>
          <w:sz w:val="22"/>
        </w:rPr>
        <w:t>REMAINDER OF PAGE INTENTIONALLY LEFT BLANK</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85445"/>
                <wp:effectExtent l="0" t="0" r="0" b="0"/>
                <wp:wrapNone/>
                <wp:docPr id="192" name="Frame1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157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157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hereto have caused this Agreement to be duly executed as of the date first above written.</w:t>
      </w:r>
    </w:p>
    <w:tbl>
      <w:tblPr>
        <w:tblW w:w="6135" w:type="dxa"/>
        <w:jc w:val="left"/>
        <w:tblInd w:w="0" w:type="dxa"/>
        <w:tblLayout w:type="fixed"/>
        <w:tblCellMar>
          <w:top w:w="28" w:type="dxa"/>
          <w:left w:w="28" w:type="dxa"/>
          <w:bottom w:w="28" w:type="dxa"/>
          <w:right w:w="28" w:type="dxa"/>
        </w:tblCellMar>
      </w:tblPr>
      <w:tblGrid>
        <w:gridCol w:w="608"/>
        <w:gridCol w:w="535"/>
        <w:gridCol w:w="537"/>
        <w:gridCol w:w="1305"/>
        <w:gridCol w:w="1305"/>
        <w:gridCol w:w="1845"/>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2"/>
                <w:u w:val="single"/>
              </w:rPr>
              <w:t>COMPANY</w:t>
            </w:r>
            <w:r>
              <w:rPr>
                <w:rFonts w:ascii="Times New Roman;serif" w:hAnsi="Times New Roman;serif"/>
                <w:b w:val="false"/>
                <w:color w:val="000000"/>
                <w:sz w:val="22"/>
              </w:rPr>
              <w:t>:</w:t>
            </w:r>
          </w:p>
        </w:tc>
        <w:tc>
          <w:tcPr>
            <w:tcW w:w="44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CRA INTERNATIONAL, INC.</w:t>
            </w:r>
          </w:p>
          <w:p>
            <w:pPr>
              <w:pStyle w:val="TableContents"/>
              <w:bidi w:val="0"/>
              <w:spacing w:before="0" w:after="480"/>
              <w:jc w:val="both"/>
              <w:rPr/>
            </w:pPr>
            <w:r>
              <w:rPr/>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/s/ Paul A. Maleh</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Paul A. Maleh</w:t>
            </w:r>
          </w:p>
          <w:p>
            <w:pPr>
              <w:pStyle w:val="TableContents"/>
              <w:bidi w:val="0"/>
              <w:spacing w:lineRule="auto" w:line="288" w:before="0" w:after="720"/>
              <w:jc w:val="both"/>
              <w:rPr>
                <w:rFonts w:ascii="Times New Roman;serif" w:hAnsi="Times New Roman;serif"/>
                <w:b w:val="false"/>
                <w:color w:val="000000"/>
                <w:sz w:val="22"/>
              </w:rPr>
            </w:pPr>
            <w:r>
              <w:rPr>
                <w:rFonts w:ascii="Times New Roman;serif" w:hAnsi="Times New Roman;serif"/>
                <w:b w:val="false"/>
                <w:color w:val="000000"/>
                <w:sz w:val="22"/>
              </w:rPr>
              <w:t>Title: President and Chief Executive Officer</w:t>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DESIGNATED</w:t>
            </w:r>
          </w:p>
          <w:p>
            <w:pPr>
              <w:pStyle w:val="TableContents"/>
              <w:bidi w:val="0"/>
              <w:spacing w:lineRule="auto" w:line="288" w:before="0" w:after="0"/>
              <w:jc w:val="both"/>
              <w:rPr/>
            </w:pPr>
            <w:r>
              <w:rPr>
                <w:rFonts w:ascii="Times New Roman;serif" w:hAnsi="Times New Roman;serif"/>
                <w:b/>
                <w:color w:val="000000"/>
                <w:sz w:val="22"/>
                <w:u w:val="single"/>
              </w:rPr>
              <w:t>BORROWERS</w:t>
            </w:r>
            <w:r>
              <w:rPr>
                <w:rFonts w:ascii="Times New Roman;serif" w:hAnsi="Times New Roman;serif"/>
                <w:b w:val="false"/>
                <w:color w:val="000000"/>
                <w:sz w:val="22"/>
              </w:rPr>
              <w:t>:</w:t>
            </w:r>
          </w:p>
        </w:tc>
        <w:tc>
          <w:tcPr>
            <w:tcW w:w="4455" w:type="dxa"/>
            <w:gridSpan w:val="3"/>
            <w:tcBorders/>
            <w:tcMar>
              <w:top w:w="0" w:type="dxa"/>
              <w:left w:w="0" w:type="dxa"/>
              <w:bottom w:w="0" w:type="dxa"/>
              <w:right w:w="0" w:type="dxa"/>
            </w:tcMar>
            <w:vAlign w:val="center"/>
          </w:tcPr>
          <w:p>
            <w:pPr>
              <w:pStyle w:val="TableContents"/>
              <w:bidi w:val="0"/>
              <w:spacing w:lineRule="auto" w:line="288" w:before="0" w:after="480"/>
              <w:jc w:val="both"/>
              <w:rPr>
                <w:rFonts w:ascii="Times New Roman;serif" w:hAnsi="Times New Roman;serif"/>
                <w:b/>
                <w:color w:val="000000"/>
                <w:sz w:val="22"/>
              </w:rPr>
            </w:pPr>
            <w:r>
              <w:rPr>
                <w:rFonts w:ascii="Times New Roman;serif" w:hAnsi="Times New Roman;serif"/>
                <w:b/>
                <w:color w:val="000000"/>
                <w:sz w:val="22"/>
              </w:rPr>
              <w:t>CRA INTERNATIONAL (UK) LIMITED</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/s/ Paul A. Maleh</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Paul A. Maleh</w:t>
            </w:r>
          </w:p>
          <w:p>
            <w:pPr>
              <w:pStyle w:val="TableContents"/>
              <w:bidi w:val="0"/>
              <w:spacing w:lineRule="auto" w:line="288" w:before="0" w:after="720"/>
              <w:jc w:val="both"/>
              <w:rPr>
                <w:rFonts w:ascii="Times New Roman;serif" w:hAnsi="Times New Roman;serif"/>
                <w:b w:val="false"/>
                <w:color w:val="000000"/>
                <w:sz w:val="22"/>
              </w:rPr>
            </w:pPr>
            <w:r>
              <w:rPr>
                <w:rFonts w:ascii="Times New Roman;serif" w:hAnsi="Times New Roman;serif"/>
                <w:b w:val="false"/>
                <w:color w:val="000000"/>
                <w:sz w:val="22"/>
              </w:rPr>
              <w:t>Title: Director</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88" w:before="0" w:after="480"/>
              <w:jc w:val="both"/>
              <w:rPr>
                <w:rFonts w:ascii="Times New Roman;serif" w:hAnsi="Times New Roman;serif"/>
                <w:b/>
                <w:color w:val="000000"/>
                <w:sz w:val="22"/>
              </w:rPr>
            </w:pPr>
            <w:r>
              <w:rPr>
                <w:rFonts w:ascii="Times New Roman;serif" w:hAnsi="Times New Roman;serif"/>
                <w:b/>
                <w:color w:val="000000"/>
                <w:sz w:val="22"/>
              </w:rPr>
              <w:t>CRA INTERNATIONAL LIMITED</w:t>
            </w:r>
          </w:p>
          <w:p>
            <w:pPr>
              <w:pStyle w:val="TableContents"/>
              <w:bidi w:val="0"/>
              <w:spacing w:lineRule="auto" w:line="288" w:before="0" w:after="0"/>
              <w:jc w:val="both"/>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rPr>
              <w:t>/s/ Paul A. Maleh</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Paul A. Maleh</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Title: Director, President and Chief Executive </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Officer</w:t>
            </w:r>
          </w:p>
        </w:tc>
      </w:tr>
    </w:tbl>
    <w:p>
      <w:pPr>
        <w:pStyle w:val="TextBody"/>
        <w:bidi w:val="0"/>
        <w:spacing w:before="0" w:after="0"/>
        <w:jc w:val="left"/>
        <w:rPr/>
      </w:pPr>
      <w:r>
        <w:rPr/>
        <w:drawing>
          <wp:inline distT="0" distB="0" distL="0" distR="0">
            <wp:extent cx="2581275" cy="14605"/>
            <wp:effectExtent l="0" t="0" r="0" b="0"/>
            <wp:docPr id="19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 descr=""/>
                    <pic:cNvPicPr>
                      <a:picLocks noChangeAspect="1" noChangeArrowheads="1"/>
                    </pic:cNvPicPr>
                  </pic:nvPicPr>
                  <pic:blipFill>
                    <a:blip r:embed="rId4"/>
                    <a:stretch>
                      <a:fillRect/>
                    </a:stretch>
                  </pic:blipFill>
                  <pic:spPr bwMode="auto">
                    <a:xfrm>
                      <a:off x="0" y="0"/>
                      <a:ext cx="2581275" cy="14605"/>
                    </a:xfrm>
                    <a:prstGeom prst="rect">
                      <a:avLst/>
                    </a:prstGeom>
                  </pic:spPr>
                </pic:pic>
              </a:graphicData>
            </a:graphic>
          </wp:inline>
        </w:drawing>
      </w:r>
      <w:r>
        <w:rPr/>
        <w:drawing>
          <wp:inline distT="0" distB="0" distL="0" distR="0">
            <wp:extent cx="2581275" cy="14605"/>
            <wp:effectExtent l="0" t="0" r="0" b="0"/>
            <wp:docPr id="19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2" descr=""/>
                    <pic:cNvPicPr>
                      <a:picLocks noChangeAspect="1" noChangeArrowheads="1"/>
                    </pic:cNvPicPr>
                  </pic:nvPicPr>
                  <pic:blipFill>
                    <a:blip r:embed="rId5"/>
                    <a:stretch>
                      <a:fillRect/>
                    </a:stretch>
                  </pic:blipFill>
                  <pic:spPr bwMode="auto">
                    <a:xfrm>
                      <a:off x="0" y="0"/>
                      <a:ext cx="2581275" cy="14605"/>
                    </a:xfrm>
                    <a:prstGeom prst="rect">
                      <a:avLst/>
                    </a:prstGeom>
                  </pic:spPr>
                </pic:pic>
              </a:graphicData>
            </a:graphic>
          </wp:inline>
        </w:drawing>
      </w:r>
      <w:r>
        <w:rPr/>
        <w:drawing>
          <wp:inline distT="0" distB="0" distL="0" distR="0">
            <wp:extent cx="2581275" cy="14605"/>
            <wp:effectExtent l="0" t="0" r="0" b="0"/>
            <wp:docPr id="19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3" descr=""/>
                    <pic:cNvPicPr>
                      <a:picLocks noChangeAspect="1" noChangeArrowheads="1"/>
                    </pic:cNvPicPr>
                  </pic:nvPicPr>
                  <pic:blipFill>
                    <a:blip r:embed="rId6"/>
                    <a:stretch>
                      <a:fillRect/>
                    </a:stretch>
                  </pic:blipFill>
                  <pic:spPr bwMode="auto">
                    <a:xfrm>
                      <a:off x="0" y="0"/>
                      <a:ext cx="2581275" cy="1460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196"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180" w:before="0" w:after="0"/>
                              <w:jc w:val="left"/>
                              <w:rPr>
                                <w:color w:val="000000"/>
                              </w:rPr>
                            </w:pPr>
                            <w:r>
                              <w:rPr>
                                <w:color w:val="000000"/>
                              </w:rPr>
                              <w:t>    </w:t>
                            </w:r>
                            <w:r>
                              <w:rPr>
                                <w:rFonts w:ascii="Times New Roman;serif" w:hAnsi="Times New Roman;serif"/>
                                <w:b w:val="false"/>
                                <w:color w:val="000000"/>
                                <w:sz w:val="16"/>
                              </w:rPr>
                              <w:t>[Signature Page to Amended &amp; Restated Credit Agreement (Bank of America/CRA International)]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180" w:before="0" w:after="0"/>
                        <w:jc w:val="left"/>
                        <w:rPr>
                          <w:color w:val="000000"/>
                        </w:rPr>
                      </w:pPr>
                      <w:r>
                        <w:rPr>
                          <w:color w:val="000000"/>
                        </w:rPr>
                        <w:t>    </w:t>
                      </w:r>
                      <w:r>
                        <w:rPr>
                          <w:rFonts w:ascii="Times New Roman;serif" w:hAnsi="Times New Roman;serif"/>
                          <w:b w:val="false"/>
                          <w:color w:val="000000"/>
                          <w:sz w:val="16"/>
                        </w:rPr>
                        <w:t>[Signature Page to Amended &amp; Restated Credit Agreement (Bank of America/CRA International)]</w:t>
                      </w:r>
                    </w:p>
                  </w:txbxContent>
                </v:textbox>
                <w10:wrap type="none"/>
              </v:rect>
            </w:pict>
          </mc:Fallback>
        </mc:AlternateContent>
      </w:r>
    </w:p>
    <w:p>
      <w:pPr>
        <w:pStyle w:val="TextBody"/>
        <w:bidi w:val="0"/>
        <w:spacing w:before="0" w:after="0"/>
        <w:jc w:val="left"/>
        <w:rPr/>
      </w:pPr>
      <w:r>
        <w:rPr/>
      </w:r>
    </w:p>
    <w:tbl>
      <w:tblPr>
        <w:tblW w:w="3326" w:type="dxa"/>
        <w:jc w:val="left"/>
        <w:tblInd w:w="0" w:type="dxa"/>
        <w:tblLayout w:type="fixed"/>
        <w:tblCellMar>
          <w:top w:w="28" w:type="dxa"/>
          <w:left w:w="28" w:type="dxa"/>
          <w:bottom w:w="28" w:type="dxa"/>
          <w:right w:w="28" w:type="dxa"/>
        </w:tblCellMar>
      </w:tblPr>
      <w:tblGrid>
        <w:gridCol w:w="124"/>
        <w:gridCol w:w="109"/>
        <w:gridCol w:w="109"/>
        <w:gridCol w:w="873"/>
        <w:gridCol w:w="873"/>
        <w:gridCol w:w="12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BANK OF AMERICA, N.A.,</w:t>
            </w:r>
          </w:p>
          <w:p>
            <w:pPr>
              <w:pStyle w:val="TableContents"/>
              <w:bidi w:val="0"/>
              <w:spacing w:lineRule="auto" w:line="288" w:before="0" w:after="480"/>
              <w:jc w:val="both"/>
              <w:rPr>
                <w:rFonts w:ascii="Times New Roman;serif" w:hAnsi="Times New Roman;serif"/>
                <w:b w:val="false"/>
                <w:color w:val="000000"/>
                <w:sz w:val="22"/>
              </w:rPr>
            </w:pPr>
            <w:r>
              <w:rPr>
                <w:rFonts w:ascii="Times New Roman;serif" w:hAnsi="Times New Roman;serif"/>
                <w:b w:val="false"/>
                <w:color w:val="000000"/>
                <w:sz w:val="22"/>
              </w:rPr>
              <w:t>as Administrative Agent</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/s/ David J. Smith</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David J. Smith</w:t>
            </w:r>
          </w:p>
          <w:p>
            <w:pPr>
              <w:pStyle w:val="TableContents"/>
              <w:bidi w:val="0"/>
              <w:spacing w:lineRule="auto" w:line="288" w:before="0" w:after="720"/>
              <w:jc w:val="both"/>
              <w:rPr>
                <w:rFonts w:ascii="Times New Roman;serif" w:hAnsi="Times New Roman;serif"/>
                <w:b w:val="false"/>
                <w:color w:val="000000"/>
                <w:sz w:val="22"/>
              </w:rPr>
            </w:pPr>
            <w:r>
              <w:rPr>
                <w:rFonts w:ascii="Times New Roman;serif" w:hAnsi="Times New Roman;serif"/>
                <w:b w:val="false"/>
                <w:color w:val="000000"/>
                <w:sz w:val="22"/>
              </w:rPr>
              <w:t>Title: Vice President</w:t>
            </w:r>
          </w:p>
        </w:tc>
      </w:tr>
    </w:tbl>
    <w:p>
      <w:pPr>
        <w:pStyle w:val="TextBody"/>
        <w:bidi w:val="0"/>
        <w:spacing w:before="0" w:after="0"/>
        <w:jc w:val="left"/>
        <w:rPr/>
      </w:pPr>
      <w:r>
        <w:rPr/>
        <w:drawing>
          <wp:inline distT="0" distB="0" distL="0" distR="0">
            <wp:extent cx="2581275" cy="14605"/>
            <wp:effectExtent l="0" t="0" r="0" b="0"/>
            <wp:docPr id="19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4" descr=""/>
                    <pic:cNvPicPr>
                      <a:picLocks noChangeAspect="1" noChangeArrowheads="1"/>
                    </pic:cNvPicPr>
                  </pic:nvPicPr>
                  <pic:blipFill>
                    <a:blip r:embed="rId7"/>
                    <a:stretch>
                      <a:fillRect/>
                    </a:stretch>
                  </pic:blipFill>
                  <pic:spPr bwMode="auto">
                    <a:xfrm>
                      <a:off x="0" y="0"/>
                      <a:ext cx="2581275" cy="1460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198"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180" w:before="0" w:after="0"/>
                              <w:jc w:val="left"/>
                              <w:rPr>
                                <w:color w:val="000000"/>
                              </w:rPr>
                            </w:pPr>
                            <w:r>
                              <w:rPr>
                                <w:color w:val="000000"/>
                              </w:rPr>
                              <w:t>    </w:t>
                            </w:r>
                            <w:r>
                              <w:rPr>
                                <w:rFonts w:ascii="Times New Roman;serif" w:hAnsi="Times New Roman;serif"/>
                                <w:b w:val="false"/>
                                <w:color w:val="000000"/>
                                <w:sz w:val="16"/>
                              </w:rPr>
                              <w:t>[Signature Page to Amended &amp; Restated Credit Agreement (Bank of America/CRA International)]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180" w:before="0" w:after="0"/>
                        <w:jc w:val="left"/>
                        <w:rPr>
                          <w:color w:val="000000"/>
                        </w:rPr>
                      </w:pPr>
                      <w:r>
                        <w:rPr>
                          <w:color w:val="000000"/>
                        </w:rPr>
                        <w:t>    </w:t>
                      </w:r>
                      <w:r>
                        <w:rPr>
                          <w:rFonts w:ascii="Times New Roman;serif" w:hAnsi="Times New Roman;serif"/>
                          <w:b w:val="false"/>
                          <w:color w:val="000000"/>
                          <w:sz w:val="16"/>
                        </w:rPr>
                        <w:t>[Signature Page to Amended &amp; Restated Credit Agreement (Bank of America/CRA International)]</w:t>
                      </w:r>
                    </w:p>
                  </w:txbxContent>
                </v:textbox>
                <w10:wrap type="none"/>
              </v:rect>
            </w:pict>
          </mc:Fallback>
        </mc:AlternateContent>
      </w:r>
    </w:p>
    <w:p>
      <w:pPr>
        <w:pStyle w:val="TextBody"/>
        <w:bidi w:val="0"/>
        <w:spacing w:before="0" w:after="0"/>
        <w:jc w:val="left"/>
        <w:rPr/>
      </w:pPr>
      <w:r>
        <w:rPr/>
      </w:r>
    </w:p>
    <w:tbl>
      <w:tblPr>
        <w:tblW w:w="4766" w:type="dxa"/>
        <w:jc w:val="left"/>
        <w:tblInd w:w="0" w:type="dxa"/>
        <w:tblLayout w:type="fixed"/>
        <w:tblCellMar>
          <w:top w:w="28" w:type="dxa"/>
          <w:left w:w="28" w:type="dxa"/>
          <w:bottom w:w="28" w:type="dxa"/>
          <w:right w:w="28" w:type="dxa"/>
        </w:tblCellMar>
      </w:tblPr>
      <w:tblGrid>
        <w:gridCol w:w="124"/>
        <w:gridCol w:w="109"/>
        <w:gridCol w:w="109"/>
        <w:gridCol w:w="1296"/>
        <w:gridCol w:w="1296"/>
        <w:gridCol w:w="18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BANK OF AMERICA, N.A.,</w:t>
            </w:r>
          </w:p>
          <w:p>
            <w:pPr>
              <w:pStyle w:val="TableContents"/>
              <w:bidi w:val="0"/>
              <w:spacing w:lineRule="auto" w:line="288" w:before="0" w:after="480"/>
              <w:jc w:val="both"/>
              <w:rPr>
                <w:rFonts w:ascii="Times New Roman;serif" w:hAnsi="Times New Roman;serif"/>
                <w:b w:val="false"/>
                <w:color w:val="000000"/>
                <w:sz w:val="22"/>
              </w:rPr>
            </w:pPr>
            <w:r>
              <w:rPr>
                <w:rFonts w:ascii="Times New Roman;serif" w:hAnsi="Times New Roman;serif"/>
                <w:b w:val="false"/>
                <w:color w:val="000000"/>
                <w:sz w:val="22"/>
              </w:rPr>
              <w:t>as a Lender, L/C Issuer and Swingline Lender</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/s/ Christopher Wood</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Wood</w:t>
            </w:r>
          </w:p>
          <w:p>
            <w:pPr>
              <w:pStyle w:val="TableContents"/>
              <w:bidi w:val="0"/>
              <w:spacing w:lineRule="auto" w:line="288" w:before="0" w:after="720"/>
              <w:jc w:val="both"/>
              <w:rPr>
                <w:rFonts w:ascii="Times New Roman;serif" w:hAnsi="Times New Roman;serif"/>
                <w:b w:val="false"/>
                <w:color w:val="000000"/>
                <w:sz w:val="22"/>
              </w:rPr>
            </w:pPr>
            <w:r>
              <w:rPr>
                <w:rFonts w:ascii="Times New Roman;serif" w:hAnsi="Times New Roman;serif"/>
                <w:b w:val="false"/>
                <w:color w:val="000000"/>
                <w:sz w:val="22"/>
              </w:rPr>
              <w:t>Title: Senior Vice President</w:t>
            </w:r>
          </w:p>
        </w:tc>
      </w:tr>
    </w:tbl>
    <w:p>
      <w:pPr>
        <w:pStyle w:val="TextBody"/>
        <w:bidi w:val="0"/>
        <w:spacing w:before="0" w:after="0"/>
        <w:jc w:val="left"/>
        <w:rPr/>
      </w:pPr>
      <w:r>
        <w:rPr/>
        <w:drawing>
          <wp:inline distT="0" distB="0" distL="0" distR="0">
            <wp:extent cx="2581275" cy="14605"/>
            <wp:effectExtent l="0" t="0" r="0" b="0"/>
            <wp:docPr id="19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5" descr=""/>
                    <pic:cNvPicPr>
                      <a:picLocks noChangeAspect="1" noChangeArrowheads="1"/>
                    </pic:cNvPicPr>
                  </pic:nvPicPr>
                  <pic:blipFill>
                    <a:blip r:embed="rId8"/>
                    <a:stretch>
                      <a:fillRect/>
                    </a:stretch>
                  </pic:blipFill>
                  <pic:spPr bwMode="auto">
                    <a:xfrm>
                      <a:off x="0" y="0"/>
                      <a:ext cx="2581275" cy="1460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0"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180" w:before="0" w:after="0"/>
                              <w:jc w:val="left"/>
                              <w:rPr>
                                <w:color w:val="000000"/>
                              </w:rPr>
                            </w:pPr>
                            <w:r>
                              <w:rPr>
                                <w:color w:val="000000"/>
                              </w:rPr>
                              <w:t>    </w:t>
                            </w:r>
                            <w:r>
                              <w:rPr>
                                <w:rFonts w:ascii="Times New Roman;serif" w:hAnsi="Times New Roman;serif"/>
                                <w:b w:val="false"/>
                                <w:color w:val="000000"/>
                                <w:sz w:val="16"/>
                              </w:rPr>
                              <w:t>[Signature Page to Amended &amp; Restated Credit Agreement (Bank of America/CRA International)]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180" w:before="0" w:after="0"/>
                        <w:jc w:val="left"/>
                        <w:rPr>
                          <w:color w:val="000000"/>
                        </w:rPr>
                      </w:pPr>
                      <w:r>
                        <w:rPr>
                          <w:color w:val="000000"/>
                        </w:rPr>
                        <w:t>    </w:t>
                      </w:r>
                      <w:r>
                        <w:rPr>
                          <w:rFonts w:ascii="Times New Roman;serif" w:hAnsi="Times New Roman;serif"/>
                          <w:b w:val="false"/>
                          <w:color w:val="000000"/>
                          <w:sz w:val="16"/>
                        </w:rPr>
                        <w:t>[Signature Page to Amended &amp; Restated Credit Agreement (Bank of America/CRA International)]</w:t>
                      </w:r>
                    </w:p>
                  </w:txbxContent>
                </v:textbox>
                <w10:wrap type="none"/>
              </v:rect>
            </w:pict>
          </mc:Fallback>
        </mc:AlternateContent>
      </w:r>
    </w:p>
    <w:p>
      <w:pPr>
        <w:pStyle w:val="TextBody"/>
        <w:bidi w:val="0"/>
        <w:spacing w:before="0" w:after="0"/>
        <w:jc w:val="left"/>
        <w:rPr/>
      </w:pPr>
      <w:r>
        <w:rPr/>
      </w:r>
    </w:p>
    <w:tbl>
      <w:tblPr>
        <w:tblW w:w="4005" w:type="dxa"/>
        <w:jc w:val="left"/>
        <w:tblInd w:w="0" w:type="dxa"/>
        <w:tblLayout w:type="fixed"/>
        <w:tblCellMar>
          <w:top w:w="28" w:type="dxa"/>
          <w:left w:w="28" w:type="dxa"/>
          <w:bottom w:w="28" w:type="dxa"/>
          <w:right w:w="28" w:type="dxa"/>
        </w:tblCellMar>
      </w:tblPr>
      <w:tblGrid>
        <w:gridCol w:w="451"/>
        <w:gridCol w:w="396"/>
        <w:gridCol w:w="398"/>
        <w:gridCol w:w="808"/>
        <w:gridCol w:w="808"/>
        <w:gridCol w:w="114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2"/>
                <w:u w:val="single"/>
              </w:rPr>
              <w:t>LENDERS</w:t>
            </w:r>
            <w:r>
              <w:rPr>
                <w:rFonts w:ascii="Times New Roman;serif" w:hAnsi="Times New Roman;serif"/>
                <w:b w:val="false"/>
                <w:color w:val="000000"/>
                <w:sz w:val="22"/>
              </w:rPr>
              <w:t>:</w:t>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Citizens Bank, N.A.,</w:t>
            </w:r>
          </w:p>
          <w:p>
            <w:pPr>
              <w:pStyle w:val="TableContents"/>
              <w:bidi w:val="0"/>
              <w:spacing w:lineRule="auto" w:line="288" w:before="0" w:after="480"/>
              <w:jc w:val="both"/>
              <w:rPr>
                <w:rFonts w:ascii="Times New Roman;serif" w:hAnsi="Times New Roman;serif"/>
                <w:b w:val="false"/>
                <w:color w:val="000000"/>
                <w:sz w:val="22"/>
              </w:rPr>
            </w:pPr>
            <w:r>
              <w:rPr>
                <w:rFonts w:ascii="Times New Roman;serif" w:hAnsi="Times New Roman;serif"/>
                <w:b w:val="false"/>
                <w:color w:val="000000"/>
                <w:sz w:val="22"/>
              </w:rPr>
              <w:t>as a Lender and L/C Issuer</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/s/ Marc J. Lubelczyk</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Marc J. Lubelczyk</w:t>
            </w:r>
          </w:p>
          <w:p>
            <w:pPr>
              <w:pStyle w:val="TableContents"/>
              <w:bidi w:val="0"/>
              <w:spacing w:lineRule="auto" w:line="288" w:before="0" w:after="720"/>
              <w:jc w:val="both"/>
              <w:rPr>
                <w:rFonts w:ascii="Times New Roman;serif" w:hAnsi="Times New Roman;serif"/>
                <w:b w:val="false"/>
                <w:color w:val="000000"/>
                <w:sz w:val="22"/>
              </w:rPr>
            </w:pPr>
            <w:r>
              <w:rPr>
                <w:rFonts w:ascii="Times New Roman;serif" w:hAnsi="Times New Roman;serif"/>
                <w:b w:val="false"/>
                <w:color w:val="000000"/>
                <w:sz w:val="22"/>
              </w:rPr>
              <w:t xml:space="preserve">Title: Senior Vice President </w:t>
            </w:r>
          </w:p>
        </w:tc>
      </w:tr>
    </w:tbl>
    <w:p>
      <w:pPr>
        <w:pStyle w:val="TextBody"/>
        <w:bidi w:val="0"/>
        <w:spacing w:before="0" w:after="720"/>
        <w:ind w:left="0" w:right="0" w:firstLine="720"/>
        <w:jc w:val="both"/>
        <w:rPr/>
      </w:pPr>
      <w:r>
        <w:rPr/>
        <w:drawing>
          <wp:inline distT="0" distB="0" distL="0" distR="0">
            <wp:extent cx="2581275" cy="14605"/>
            <wp:effectExtent l="0" t="0" r="0" b="0"/>
            <wp:docPr id="20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6" descr=""/>
                    <pic:cNvPicPr>
                      <a:picLocks noChangeAspect="1" noChangeArrowheads="1"/>
                    </pic:cNvPicPr>
                  </pic:nvPicPr>
                  <pic:blipFill>
                    <a:blip r:embed="rId9"/>
                    <a:stretch>
                      <a:fillRect/>
                    </a:stretch>
                  </pic:blipFill>
                  <pic:spPr bwMode="auto">
                    <a:xfrm>
                      <a:off x="0" y="0"/>
                      <a:ext cx="2581275" cy="1460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2"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180" w:before="0" w:after="0"/>
                              <w:jc w:val="left"/>
                              <w:rPr>
                                <w:color w:val="000000"/>
                              </w:rPr>
                            </w:pPr>
                            <w:r>
                              <w:rPr>
                                <w:color w:val="000000"/>
                              </w:rPr>
                              <w:t>    </w:t>
                            </w:r>
                            <w:r>
                              <w:rPr>
                                <w:rFonts w:ascii="Times New Roman;serif" w:hAnsi="Times New Roman;serif"/>
                                <w:b w:val="false"/>
                                <w:color w:val="000000"/>
                                <w:sz w:val="16"/>
                              </w:rPr>
                              <w:t>[Signature Page to Amended &amp; Restated Credit Agreement (Bank of America/CRA International)]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180" w:before="0" w:after="0"/>
                        <w:jc w:val="left"/>
                        <w:rPr>
                          <w:color w:val="000000"/>
                        </w:rPr>
                      </w:pPr>
                      <w:r>
                        <w:rPr>
                          <w:color w:val="000000"/>
                        </w:rPr>
                        <w:t>    </w:t>
                      </w:r>
                      <w:r>
                        <w:rPr>
                          <w:rFonts w:ascii="Times New Roman;serif" w:hAnsi="Times New Roman;serif"/>
                          <w:b w:val="false"/>
                          <w:color w:val="000000"/>
                          <w:sz w:val="16"/>
                        </w:rPr>
                        <w:t>[Signature Page to Amended &amp; Restated Credit Agreement (Bank of America/CRA International)]</w:t>
                      </w:r>
                    </w:p>
                  </w:txbxContent>
                </v:textbox>
                <w10:wrap type="none"/>
              </v:rect>
            </w:pict>
          </mc:Fallback>
        </mc:AlternateContent>
      </w:r>
    </w:p>
    <w:tbl>
      <w:tblPr>
        <w:tblW w:w="4514" w:type="dxa"/>
        <w:jc w:val="left"/>
        <w:tblInd w:w="0" w:type="dxa"/>
        <w:tblLayout w:type="fixed"/>
        <w:tblCellMar>
          <w:top w:w="28" w:type="dxa"/>
          <w:left w:w="28" w:type="dxa"/>
          <w:bottom w:w="28" w:type="dxa"/>
          <w:right w:w="28" w:type="dxa"/>
        </w:tblCellMar>
      </w:tblPr>
      <w:tblGrid>
        <w:gridCol w:w="451"/>
        <w:gridCol w:w="396"/>
        <w:gridCol w:w="398"/>
        <w:gridCol w:w="957"/>
        <w:gridCol w:w="957"/>
        <w:gridCol w:w="1355"/>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2"/>
                <w:u w:val="single"/>
              </w:rPr>
              <w:t>LENDERS</w:t>
            </w:r>
            <w:r>
              <w:rPr>
                <w:rFonts w:ascii="Times New Roman;serif" w:hAnsi="Times New Roman;serif"/>
                <w:b w:val="false"/>
                <w:color w:val="000000"/>
                <w:sz w:val="22"/>
              </w:rPr>
              <w:t>:</w:t>
            </w:r>
          </w:p>
        </w:tc>
        <w:tc>
          <w:tcPr>
            <w:tcW w:w="326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Bank of Montreal,</w:t>
            </w:r>
          </w:p>
          <w:p>
            <w:pPr>
              <w:pStyle w:val="TableContents"/>
              <w:bidi w:val="0"/>
              <w:spacing w:lineRule="auto" w:line="288" w:before="0" w:after="480"/>
              <w:jc w:val="both"/>
              <w:rPr>
                <w:rFonts w:ascii="Times New Roman;serif" w:hAnsi="Times New Roman;serif"/>
                <w:b w:val="false"/>
                <w:color w:val="000000"/>
                <w:sz w:val="22"/>
              </w:rPr>
            </w:pPr>
            <w:r>
              <w:rPr>
                <w:rFonts w:ascii="Times New Roman;serif" w:hAnsi="Times New Roman;serif"/>
                <w:b w:val="false"/>
                <w:color w:val="000000"/>
                <w:sz w:val="22"/>
              </w:rPr>
              <w:t xml:space="preserve">as a Lender </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/s/ Evan Ponder</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Evan Ponder</w:t>
            </w:r>
          </w:p>
          <w:p>
            <w:pPr>
              <w:pStyle w:val="TableContents"/>
              <w:bidi w:val="0"/>
              <w:spacing w:lineRule="auto" w:line="288" w:before="0" w:after="720"/>
              <w:jc w:val="both"/>
              <w:rPr>
                <w:rFonts w:ascii="Times New Roman;serif" w:hAnsi="Times New Roman;serif"/>
                <w:b w:val="false"/>
                <w:color w:val="000000"/>
                <w:sz w:val="22"/>
              </w:rPr>
            </w:pPr>
            <w:r>
              <w:rPr>
                <w:rFonts w:ascii="Times New Roman;serif" w:hAnsi="Times New Roman;serif"/>
                <w:b w:val="false"/>
                <w:color w:val="000000"/>
                <w:sz w:val="22"/>
              </w:rPr>
              <w:t>Title: Vice President</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Bank of Montreal,</w:t>
            </w:r>
          </w:p>
          <w:p>
            <w:pPr>
              <w:pStyle w:val="TableContents"/>
              <w:bidi w:val="0"/>
              <w:spacing w:lineRule="auto" w:line="288" w:before="0" w:after="480"/>
              <w:jc w:val="both"/>
              <w:rPr>
                <w:rFonts w:ascii="Times New Roman;serif" w:hAnsi="Times New Roman;serif"/>
                <w:b w:val="false"/>
                <w:color w:val="000000"/>
                <w:sz w:val="22"/>
              </w:rPr>
            </w:pPr>
            <w:r>
              <w:rPr>
                <w:rFonts w:ascii="Times New Roman;serif" w:hAnsi="Times New Roman;serif"/>
                <w:b w:val="false"/>
                <w:color w:val="000000"/>
                <w:sz w:val="22"/>
              </w:rPr>
              <w:t xml:space="preserve">as a Lender </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/s/ Helen Alvarez-Hernandez</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Helen Alvarez-Hernandez</w:t>
            </w:r>
          </w:p>
          <w:p>
            <w:pPr>
              <w:pStyle w:val="TableContents"/>
              <w:bidi w:val="0"/>
              <w:spacing w:lineRule="auto" w:line="288" w:before="0" w:after="720"/>
              <w:jc w:val="both"/>
              <w:rPr>
                <w:rFonts w:ascii="Times New Roman;serif" w:hAnsi="Times New Roman;serif"/>
                <w:b w:val="false"/>
                <w:color w:val="000000"/>
                <w:sz w:val="22"/>
              </w:rPr>
            </w:pPr>
            <w:r>
              <w:rPr>
                <w:rFonts w:ascii="Times New Roman;serif" w:hAnsi="Times New Roman;serif"/>
                <w:b w:val="false"/>
                <w:color w:val="000000"/>
                <w:sz w:val="22"/>
              </w:rPr>
              <w:t>Title: Managing Director</w:t>
            </w:r>
          </w:p>
        </w:tc>
      </w:tr>
    </w:tbl>
    <w:p>
      <w:pPr>
        <w:pStyle w:val="TextBody"/>
        <w:bidi w:val="0"/>
        <w:spacing w:before="0" w:after="720"/>
        <w:ind w:left="0" w:right="0" w:firstLine="720"/>
        <w:jc w:val="both"/>
        <w:rPr/>
      </w:pPr>
      <w:r>
        <w:rPr/>
        <w:drawing>
          <wp:inline distT="0" distB="0" distL="0" distR="0">
            <wp:extent cx="2581275" cy="14605"/>
            <wp:effectExtent l="0" t="0" r="0" b="0"/>
            <wp:docPr id="20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7" descr=""/>
                    <pic:cNvPicPr>
                      <a:picLocks noChangeAspect="1" noChangeArrowheads="1"/>
                    </pic:cNvPicPr>
                  </pic:nvPicPr>
                  <pic:blipFill>
                    <a:blip r:embed="rId10"/>
                    <a:stretch>
                      <a:fillRect/>
                    </a:stretch>
                  </pic:blipFill>
                  <pic:spPr bwMode="auto">
                    <a:xfrm>
                      <a:off x="0" y="0"/>
                      <a:ext cx="2581275" cy="14605"/>
                    </a:xfrm>
                    <a:prstGeom prst="rect">
                      <a:avLst/>
                    </a:prstGeom>
                  </pic:spPr>
                </pic:pic>
              </a:graphicData>
            </a:graphic>
          </wp:inline>
        </w:drawing>
      </w:r>
      <w:r>
        <w:rPr/>
        <w:drawing>
          <wp:inline distT="0" distB="0" distL="0" distR="0">
            <wp:extent cx="2581275" cy="14605"/>
            <wp:effectExtent l="0" t="0" r="0" b="0"/>
            <wp:docPr id="20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8" descr=""/>
                    <pic:cNvPicPr>
                      <a:picLocks noChangeAspect="1" noChangeArrowheads="1"/>
                    </pic:cNvPicPr>
                  </pic:nvPicPr>
                  <pic:blipFill>
                    <a:blip r:embed="rId11"/>
                    <a:stretch>
                      <a:fillRect/>
                    </a:stretch>
                  </pic:blipFill>
                  <pic:spPr bwMode="auto">
                    <a:xfrm>
                      <a:off x="0" y="0"/>
                      <a:ext cx="2581275" cy="1460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5"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180" w:before="0" w:after="0"/>
                              <w:jc w:val="left"/>
                              <w:rPr>
                                <w:color w:val="000000"/>
                              </w:rPr>
                            </w:pPr>
                            <w:r>
                              <w:rPr>
                                <w:color w:val="000000"/>
                              </w:rPr>
                              <w:t>    </w:t>
                            </w:r>
                            <w:r>
                              <w:rPr>
                                <w:rFonts w:ascii="Times New Roman;serif" w:hAnsi="Times New Roman;serif"/>
                                <w:b w:val="false"/>
                                <w:color w:val="000000"/>
                                <w:sz w:val="16"/>
                              </w:rPr>
                              <w:t>[Signature Page to Amended &amp; Restated Credit Agreement (Bank of America/CRA International)]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180" w:before="0" w:after="0"/>
                        <w:jc w:val="left"/>
                        <w:rPr>
                          <w:color w:val="000000"/>
                        </w:rPr>
                      </w:pPr>
                      <w:r>
                        <w:rPr>
                          <w:color w:val="000000"/>
                        </w:rPr>
                        <w:t>    </w:t>
                      </w:r>
                      <w:r>
                        <w:rPr>
                          <w:rFonts w:ascii="Times New Roman;serif" w:hAnsi="Times New Roman;serif"/>
                          <w:b w:val="false"/>
                          <w:color w:val="000000"/>
                          <w:sz w:val="16"/>
                        </w:rPr>
                        <w:t>[Signature Page to Amended &amp; Restated Credit Agreement (Bank of America/CRA International)]</w:t>
                      </w:r>
                    </w:p>
                  </w:txbxContent>
                </v:textbox>
                <w10:wrap type="none"/>
              </v:rect>
            </w:pict>
          </mc:Fallback>
        </mc:AlternateContent>
      </w:r>
    </w:p>
    <w:tbl>
      <w:tblPr>
        <w:tblW w:w="4634" w:type="dxa"/>
        <w:jc w:val="left"/>
        <w:tblInd w:w="0" w:type="dxa"/>
        <w:tblLayout w:type="fixed"/>
        <w:tblCellMar>
          <w:top w:w="28" w:type="dxa"/>
          <w:left w:w="28" w:type="dxa"/>
          <w:bottom w:w="28" w:type="dxa"/>
          <w:right w:w="28" w:type="dxa"/>
        </w:tblCellMar>
      </w:tblPr>
      <w:tblGrid>
        <w:gridCol w:w="451"/>
        <w:gridCol w:w="396"/>
        <w:gridCol w:w="398"/>
        <w:gridCol w:w="991"/>
        <w:gridCol w:w="991"/>
        <w:gridCol w:w="1407"/>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2"/>
                <w:u w:val="single"/>
              </w:rPr>
              <w:t>LENDERS</w:t>
            </w:r>
            <w:r>
              <w:rPr>
                <w:rFonts w:ascii="Times New Roman;serif" w:hAnsi="Times New Roman;serif"/>
                <w:b w:val="false"/>
                <w:color w:val="000000"/>
                <w:sz w:val="22"/>
              </w:rPr>
              <w:t>:</w:t>
            </w:r>
          </w:p>
        </w:tc>
        <w:tc>
          <w:tcPr>
            <w:tcW w:w="33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M&amp;T Bank,</w:t>
            </w:r>
          </w:p>
          <w:p>
            <w:pPr>
              <w:pStyle w:val="TableContents"/>
              <w:bidi w:val="0"/>
              <w:spacing w:lineRule="auto" w:line="288" w:before="0" w:after="480"/>
              <w:jc w:val="both"/>
              <w:rPr>
                <w:rFonts w:ascii="Times New Roman;serif" w:hAnsi="Times New Roman;serif"/>
                <w:b w:val="false"/>
                <w:color w:val="000000"/>
                <w:sz w:val="22"/>
              </w:rPr>
            </w:pPr>
            <w:r>
              <w:rPr>
                <w:rFonts w:ascii="Times New Roman;serif" w:hAnsi="Times New Roman;serif"/>
                <w:b w:val="false"/>
                <w:color w:val="000000"/>
                <w:sz w:val="22"/>
              </w:rPr>
              <w:t xml:space="preserve">as a Lender </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/s/ Gregory M. Guinee</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Gregory M. Guinee</w:t>
            </w:r>
          </w:p>
          <w:p>
            <w:pPr>
              <w:pStyle w:val="TableContents"/>
              <w:bidi w:val="0"/>
              <w:spacing w:lineRule="auto" w:line="288" w:before="0" w:after="720"/>
              <w:jc w:val="both"/>
              <w:rPr>
                <w:rFonts w:ascii="Times New Roman;serif" w:hAnsi="Times New Roman;serif"/>
                <w:b w:val="false"/>
                <w:color w:val="000000"/>
                <w:sz w:val="22"/>
              </w:rPr>
            </w:pPr>
            <w:r>
              <w:rPr>
                <w:rFonts w:ascii="Times New Roman;serif" w:hAnsi="Times New Roman;serif"/>
                <w:b w:val="false"/>
                <w:color w:val="000000"/>
                <w:sz w:val="22"/>
              </w:rPr>
              <w:t>Title: SVP – Relationship Manager</w:t>
            </w:r>
          </w:p>
        </w:tc>
      </w:tr>
    </w:tbl>
    <w:p>
      <w:pPr>
        <w:pStyle w:val="TextBody"/>
        <w:bidi w:val="0"/>
        <w:spacing w:before="0" w:after="0"/>
        <w:jc w:val="left"/>
        <w:rPr/>
      </w:pPr>
      <w:r>
        <w:rPr/>
        <w:drawing>
          <wp:inline distT="0" distB="0" distL="0" distR="0">
            <wp:extent cx="2581275" cy="14605"/>
            <wp:effectExtent l="0" t="0" r="0" b="0"/>
            <wp:docPr id="20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9" descr=""/>
                    <pic:cNvPicPr>
                      <a:picLocks noChangeAspect="1" noChangeArrowheads="1"/>
                    </pic:cNvPicPr>
                  </pic:nvPicPr>
                  <pic:blipFill>
                    <a:blip r:embed="rId12"/>
                    <a:stretch>
                      <a:fillRect/>
                    </a:stretch>
                  </pic:blipFill>
                  <pic:spPr bwMode="auto">
                    <a:xfrm>
                      <a:off x="0" y="0"/>
                      <a:ext cx="2581275" cy="1460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7"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180" w:before="0" w:after="0"/>
                              <w:jc w:val="left"/>
                              <w:rPr>
                                <w:color w:val="000000"/>
                              </w:rPr>
                            </w:pPr>
                            <w:r>
                              <w:rPr>
                                <w:color w:val="000000"/>
                              </w:rPr>
                              <w:t>    </w:t>
                            </w:r>
                            <w:r>
                              <w:rPr>
                                <w:rFonts w:ascii="Times New Roman;serif" w:hAnsi="Times New Roman;serif"/>
                                <w:b w:val="false"/>
                                <w:color w:val="000000"/>
                                <w:sz w:val="16"/>
                              </w:rPr>
                              <w:t>[Signature Page to Amended &amp; Restated Credit Agreement (Bank of America/CRA International)]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180" w:before="0" w:after="0"/>
                        <w:jc w:val="left"/>
                        <w:rPr>
                          <w:color w:val="000000"/>
                        </w:rPr>
                      </w:pPr>
                      <w:r>
                        <w:rPr>
                          <w:color w:val="000000"/>
                        </w:rPr>
                        <w:t>    </w:t>
                      </w:r>
                      <w:r>
                        <w:rPr>
                          <w:rFonts w:ascii="Times New Roman;serif" w:hAnsi="Times New Roman;serif"/>
                          <w:b w:val="false"/>
                          <w:color w:val="000000"/>
                          <w:sz w:val="16"/>
                        </w:rPr>
                        <w:t>[Signature Page to Amended &amp; Restated Credit Agreement (Bank of America/CRA International)]</w:t>
                      </w:r>
                    </w:p>
                  </w:txbxContent>
                </v:textbox>
                <w10:wrap type="none"/>
              </v:rect>
            </w:pict>
          </mc:Fallback>
        </mc:AlternateContent>
      </w:r>
    </w:p>
    <w:tbl>
      <w:tblPr>
        <w:tblW w:w="4154" w:type="dxa"/>
        <w:jc w:val="left"/>
        <w:tblInd w:w="0" w:type="dxa"/>
        <w:tblLayout w:type="fixed"/>
        <w:tblCellMar>
          <w:top w:w="28" w:type="dxa"/>
          <w:left w:w="28" w:type="dxa"/>
          <w:bottom w:w="28" w:type="dxa"/>
          <w:right w:w="28" w:type="dxa"/>
        </w:tblCellMar>
      </w:tblPr>
      <w:tblGrid>
        <w:gridCol w:w="451"/>
        <w:gridCol w:w="396"/>
        <w:gridCol w:w="398"/>
        <w:gridCol w:w="850"/>
        <w:gridCol w:w="850"/>
        <w:gridCol w:w="1209"/>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2"/>
                <w:u w:val="single"/>
              </w:rPr>
              <w:t>LENDERS</w:t>
            </w:r>
            <w:r>
              <w:rPr>
                <w:rFonts w:ascii="Times New Roman;serif" w:hAnsi="Times New Roman;serif"/>
                <w:b w:val="false"/>
                <w:color w:val="000000"/>
                <w:sz w:val="22"/>
              </w:rPr>
              <w:t>:</w:t>
            </w:r>
          </w:p>
        </w:tc>
        <w:tc>
          <w:tcPr>
            <w:tcW w:w="29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Beacon Bank and Trust,</w:t>
            </w:r>
          </w:p>
          <w:p>
            <w:pPr>
              <w:pStyle w:val="TableContents"/>
              <w:bidi w:val="0"/>
              <w:spacing w:lineRule="auto" w:line="288" w:before="0" w:after="480"/>
              <w:jc w:val="both"/>
              <w:rPr>
                <w:rFonts w:ascii="Times New Roman;serif" w:hAnsi="Times New Roman;serif"/>
                <w:b w:val="false"/>
                <w:color w:val="000000"/>
                <w:sz w:val="22"/>
              </w:rPr>
            </w:pPr>
            <w:r>
              <w:rPr>
                <w:rFonts w:ascii="Times New Roman;serif" w:hAnsi="Times New Roman;serif"/>
                <w:b w:val="false"/>
                <w:color w:val="000000"/>
                <w:sz w:val="22"/>
              </w:rPr>
              <w:t xml:space="preserve">as a Lender </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/s/ Joseph T. O’Leary, Jr.</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Joseph T. O’Leary, Jr.</w:t>
            </w:r>
          </w:p>
          <w:p>
            <w:pPr>
              <w:pStyle w:val="TableContents"/>
              <w:bidi w:val="0"/>
              <w:spacing w:lineRule="auto" w:line="288" w:before="0" w:after="720"/>
              <w:jc w:val="both"/>
              <w:rPr>
                <w:rFonts w:ascii="Times New Roman;serif" w:hAnsi="Times New Roman;serif"/>
                <w:b w:val="false"/>
                <w:color w:val="000000"/>
                <w:sz w:val="22"/>
              </w:rPr>
            </w:pPr>
            <w:r>
              <w:rPr>
                <w:rFonts w:ascii="Times New Roman;serif" w:hAnsi="Times New Roman;serif"/>
                <w:b w:val="false"/>
                <w:color w:val="000000"/>
                <w:sz w:val="22"/>
              </w:rPr>
              <w:t>Title: Senior Vice President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08"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180" w:before="0" w:after="0"/>
                              <w:jc w:val="left"/>
                              <w:rPr>
                                <w:color w:val="000000"/>
                              </w:rPr>
                            </w:pPr>
                            <w:r>
                              <w:rPr>
                                <w:color w:val="000000"/>
                              </w:rPr>
                              <w:t>    </w:t>
                            </w:r>
                            <w:r>
                              <w:rPr>
                                <w:rFonts w:ascii="Times New Roman;serif" w:hAnsi="Times New Roman;serif"/>
                                <w:b w:val="false"/>
                                <w:color w:val="000000"/>
                                <w:sz w:val="16"/>
                              </w:rPr>
                              <w:t>[Signature Page to Amended &amp; Restated Credit Agreement (Bank of America/CRA International)]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0"/>
                        <w:jc w:val="left"/>
                        <w:rPr>
                          <w:color w:val="000000"/>
                        </w:rPr>
                      </w:pPr>
                      <w:r>
                        <w:rPr>
                          <w:color w:val="000000"/>
                        </w:rPr>
                        <w:t>    </w:t>
                      </w:r>
                      <w:r>
                        <w:rPr>
                          <w:rFonts w:ascii="Times New Roman;serif" w:hAnsi="Times New Roman;serif"/>
                          <w:b w:val="false"/>
                          <w:color w:val="000000"/>
                          <w:sz w:val="16"/>
                        </w:rPr>
                        <w:t>[Signature Page to Amended &amp; Restated Credit Agreement (Bank of America/CRA International)]</w:t>
                      </w:r>
                    </w:p>
                  </w:txbxContent>
                </v:textbox>
                <w10:wrap type="none"/>
              </v:rect>
            </w:pict>
          </mc:Fallback>
        </mc:AlternateContent>
      </w:r>
    </w:p>
    <w:p>
      <w:pPr>
        <w:pStyle w:val="TextBody"/>
        <w:bidi w:val="0"/>
        <w:spacing w:before="0" w:after="0"/>
        <w:jc w:val="left"/>
        <w:rPr/>
      </w:pPr>
      <w:r>
        <w:rPr/>
        <w:drawing>
          <wp:inline distT="0" distB="0" distL="0" distR="0">
            <wp:extent cx="2581275" cy="14605"/>
            <wp:effectExtent l="0" t="0" r="0" b="0"/>
            <wp:docPr id="20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0" descr=""/>
                    <pic:cNvPicPr>
                      <a:picLocks noChangeAspect="1" noChangeArrowheads="1"/>
                    </pic:cNvPicPr>
                  </pic:nvPicPr>
                  <pic:blipFill>
                    <a:blip r:embed="rId13"/>
                    <a:stretch>
                      <a:fillRect/>
                    </a:stretch>
                  </pic:blipFill>
                  <pic:spPr bwMode="auto">
                    <a:xfrm>
                      <a:off x="0" y="0"/>
                      <a:ext cx="2581275" cy="14605"/>
                    </a:xfrm>
                    <a:prstGeom prst="rect">
                      <a:avLst/>
                    </a:prstGeom>
                  </pic:spPr>
                </pic:pic>
              </a:graphicData>
            </a:graphic>
          </wp:inline>
        </w:drawing>
      </w:r>
    </w:p>
    <w:tbl>
      <w:tblPr>
        <w:tblW w:w="3299" w:type="dxa"/>
        <w:jc w:val="left"/>
        <w:tblInd w:w="0" w:type="dxa"/>
        <w:tblLayout w:type="fixed"/>
        <w:tblCellMar>
          <w:top w:w="28" w:type="dxa"/>
          <w:left w:w="28" w:type="dxa"/>
          <w:bottom w:w="28" w:type="dxa"/>
          <w:right w:w="28" w:type="dxa"/>
        </w:tblCellMar>
      </w:tblPr>
      <w:tblGrid>
        <w:gridCol w:w="451"/>
        <w:gridCol w:w="396"/>
        <w:gridCol w:w="398"/>
        <w:gridCol w:w="600"/>
        <w:gridCol w:w="600"/>
        <w:gridCol w:w="8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2"/>
                <w:u w:val="single"/>
              </w:rPr>
              <w:t>LENDERS</w:t>
            </w:r>
            <w:r>
              <w:rPr>
                <w:rFonts w:ascii="Times New Roman;serif" w:hAnsi="Times New Roman;serif"/>
                <w:b w:val="false"/>
                <w:color w:val="000000"/>
                <w:sz w:val="22"/>
              </w:rPr>
              <w:t>:</w:t>
            </w:r>
          </w:p>
        </w:tc>
        <w:tc>
          <w:tcPr>
            <w:tcW w:w="205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Eastern Bank,</w:t>
            </w:r>
          </w:p>
          <w:p>
            <w:pPr>
              <w:pStyle w:val="TableContents"/>
              <w:bidi w:val="0"/>
              <w:spacing w:lineRule="auto" w:line="288" w:before="0" w:after="480"/>
              <w:jc w:val="both"/>
              <w:rPr>
                <w:rFonts w:ascii="Times New Roman;serif" w:hAnsi="Times New Roman;serif"/>
                <w:b w:val="false"/>
                <w:color w:val="000000"/>
                <w:sz w:val="22"/>
              </w:rPr>
            </w:pPr>
            <w:r>
              <w:rPr>
                <w:rFonts w:ascii="Times New Roman;serif" w:hAnsi="Times New Roman;serif"/>
                <w:b w:val="false"/>
                <w:color w:val="000000"/>
                <w:sz w:val="22"/>
              </w:rPr>
              <w:t xml:space="preserve">as a Lender </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/s/ Tyler Dufour</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Tyler Dufour</w:t>
            </w:r>
          </w:p>
          <w:p>
            <w:pPr>
              <w:pStyle w:val="TableContents"/>
              <w:bidi w:val="0"/>
              <w:spacing w:lineRule="auto" w:line="288" w:before="0" w:after="720"/>
              <w:jc w:val="both"/>
              <w:rPr>
                <w:rFonts w:ascii="Times New Roman;serif" w:hAnsi="Times New Roman;serif"/>
                <w:b w:val="false"/>
                <w:color w:val="000000"/>
                <w:sz w:val="22"/>
              </w:rPr>
            </w:pPr>
            <w:r>
              <w:rPr>
                <w:rFonts w:ascii="Times New Roman;serif" w:hAnsi="Times New Roman;serif"/>
                <w:b w:val="false"/>
                <w:color w:val="000000"/>
                <w:sz w:val="22"/>
              </w:rPr>
              <w:t>Title: Vice President</w:t>
            </w:r>
          </w:p>
        </w:tc>
      </w:tr>
    </w:tbl>
    <w:p>
      <w:pPr>
        <w:pStyle w:val="TextBody"/>
        <w:bidi w:val="0"/>
        <w:spacing w:before="0" w:after="0"/>
        <w:jc w:val="left"/>
        <w:rPr/>
      </w:pPr>
      <w:r>
        <w:rPr/>
        <w:drawing>
          <wp:inline distT="0" distB="0" distL="0" distR="0">
            <wp:extent cx="2581275" cy="14605"/>
            <wp:effectExtent l="0" t="0" r="0" b="0"/>
            <wp:docPr id="21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1" descr=""/>
                    <pic:cNvPicPr>
                      <a:picLocks noChangeAspect="1" noChangeArrowheads="1"/>
                    </pic:cNvPicPr>
                  </pic:nvPicPr>
                  <pic:blipFill>
                    <a:blip r:embed="rId14"/>
                    <a:stretch>
                      <a:fillRect/>
                    </a:stretch>
                  </pic:blipFill>
                  <pic:spPr bwMode="auto">
                    <a:xfrm>
                      <a:off x="0" y="0"/>
                      <a:ext cx="2581275" cy="1460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16840"/>
                <wp:effectExtent l="0" t="0" r="0" b="0"/>
                <wp:wrapNone/>
                <wp:docPr id="211" name="Frame20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tLeast" w:line="180" w:before="0" w:after="0"/>
                              <w:jc w:val="left"/>
                              <w:rPr>
                                <w:rFonts w:ascii="Arial;sans-serif" w:hAnsi="Arial;sans-serif"/>
                                <w:b w:val="false"/>
                                <w:color w:val="000000"/>
                                <w:sz w:val="16"/>
                              </w:rPr>
                            </w:pPr>
                            <w:r>
                              <w:rPr>
                                <w:rFonts w:ascii="Arial;sans-serif" w:hAnsi="Arial;sans-serif"/>
                                <w:b w:val="false"/>
                                <w:color w:val="000000"/>
                                <w:sz w:val="16"/>
                              </w:rPr>
                              <w:t>4927-4929-5287, v. 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180" w:before="0" w:after="0"/>
                        <w:jc w:val="left"/>
                        <w:rPr>
                          <w:rFonts w:ascii="Arial;sans-serif" w:hAnsi="Arial;sans-serif"/>
                          <w:b w:val="false"/>
                          <w:color w:val="000000"/>
                          <w:sz w:val="16"/>
                        </w:rPr>
                      </w:pPr>
                      <w:r>
                        <w:rPr>
                          <w:rFonts w:ascii="Arial;sans-serif" w:hAnsi="Arial;sans-serif"/>
                          <w:b w:val="false"/>
                          <w:color w:val="000000"/>
                          <w:sz w:val="16"/>
                        </w:rPr>
                        <w:t>4927-4929-5287, v. 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 xml:space="preserve">SCHEDULE 1.01(b)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Initial Commitments and Applicable Percentages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91"/>
        <w:gridCol w:w="344"/>
        <w:gridCol w:w="347"/>
        <w:gridCol w:w="884"/>
        <w:gridCol w:w="553"/>
        <w:gridCol w:w="554"/>
        <w:gridCol w:w="886"/>
        <w:gridCol w:w="555"/>
        <w:gridCol w:w="556"/>
        <w:gridCol w:w="829"/>
        <w:gridCol w:w="456"/>
        <w:gridCol w:w="458"/>
        <w:gridCol w:w="706"/>
        <w:gridCol w:w="485"/>
        <w:gridCol w:w="487"/>
        <w:gridCol w:w="685"/>
        <w:gridCol w:w="468"/>
        <w:gridCol w:w="561"/>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1082" w:type="dxa"/>
            <w:gridSpan w:val="3"/>
            <w:tcBorders>
              <w:top w:val="single" w:sz="4" w:space="0" w:color="000000"/>
              <w:left w:val="single" w:sz="4" w:space="0" w:color="000000"/>
              <w:bottom w:val="single" w:sz="4" w:space="0" w:color="000000"/>
            </w:tcBorders>
            <w:shd w:fill="002060"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FFFFFF"/>
                <w:sz w:val="22"/>
                <w:u w:val="single"/>
              </w:rPr>
            </w:pPr>
            <w:r>
              <w:rPr>
                <w:rFonts w:ascii="Times New Roman;serif" w:hAnsi="Times New Roman;serif"/>
                <w:b/>
                <w:color w:val="FFFFFF"/>
                <w:sz w:val="22"/>
                <w:u w:val="single"/>
              </w:rPr>
              <w:t>Lender</w:t>
            </w:r>
          </w:p>
        </w:tc>
        <w:tc>
          <w:tcPr>
            <w:tcW w:w="1991" w:type="dxa"/>
            <w:gridSpan w:val="3"/>
            <w:tcBorders>
              <w:top w:val="single" w:sz="4" w:space="0" w:color="000000"/>
              <w:left w:val="single" w:sz="4" w:space="0" w:color="000000"/>
              <w:bottom w:val="single" w:sz="4" w:space="0" w:color="000000"/>
            </w:tcBorders>
            <w:shd w:fill="002060"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FFFFFF"/>
                <w:sz w:val="22"/>
                <w:u w:val="single"/>
              </w:rPr>
            </w:pPr>
            <w:r>
              <w:rPr>
                <w:rFonts w:ascii="Times New Roman;serif" w:hAnsi="Times New Roman;serif"/>
                <w:b/>
                <w:color w:val="FFFFFF"/>
                <w:sz w:val="22"/>
                <w:u w:val="single"/>
              </w:rPr>
              <w:t>Revolving Commitment (Seasonal Increase Period)</w:t>
            </w:r>
          </w:p>
        </w:tc>
        <w:tc>
          <w:tcPr>
            <w:tcW w:w="1997" w:type="dxa"/>
            <w:gridSpan w:val="3"/>
            <w:tcBorders>
              <w:top w:val="single" w:sz="4" w:space="0" w:color="000000"/>
              <w:left w:val="single" w:sz="4" w:space="0" w:color="000000"/>
              <w:bottom w:val="single" w:sz="4" w:space="0" w:color="000000"/>
            </w:tcBorders>
            <w:shd w:fill="002060"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FFFFFF"/>
                <w:sz w:val="22"/>
                <w:u w:val="single"/>
              </w:rPr>
            </w:pPr>
            <w:r>
              <w:rPr>
                <w:rFonts w:ascii="Times New Roman;serif" w:hAnsi="Times New Roman;serif"/>
                <w:b/>
                <w:color w:val="FFFFFF"/>
                <w:sz w:val="22"/>
                <w:u w:val="single"/>
              </w:rPr>
              <w:t>Revolving Commitment (Seasonal Decrease Period)</w:t>
            </w:r>
          </w:p>
        </w:tc>
        <w:tc>
          <w:tcPr>
            <w:tcW w:w="1743" w:type="dxa"/>
            <w:gridSpan w:val="3"/>
            <w:tcBorders>
              <w:top w:val="single" w:sz="4" w:space="0" w:color="000000"/>
              <w:left w:val="single" w:sz="4" w:space="0" w:color="000000"/>
              <w:bottom w:val="single" w:sz="4" w:space="0" w:color="000000"/>
            </w:tcBorders>
            <w:shd w:fill="002060"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FFFFFF"/>
                <w:sz w:val="22"/>
                <w:u w:val="single"/>
              </w:rPr>
            </w:pPr>
            <w:r>
              <w:rPr>
                <w:rFonts w:ascii="Times New Roman;serif" w:hAnsi="Times New Roman;serif"/>
                <w:b/>
                <w:color w:val="FFFFFF"/>
                <w:sz w:val="22"/>
                <w:u w:val="single"/>
              </w:rPr>
              <w:t>Applicable Revolving Percentage</w:t>
            </w:r>
          </w:p>
        </w:tc>
        <w:tc>
          <w:tcPr>
            <w:tcW w:w="1678" w:type="dxa"/>
            <w:gridSpan w:val="3"/>
            <w:tcBorders>
              <w:top w:val="single" w:sz="4" w:space="0" w:color="000000"/>
              <w:left w:val="single" w:sz="4" w:space="0" w:color="000000"/>
              <w:bottom w:val="single" w:sz="4" w:space="0" w:color="000000"/>
            </w:tcBorders>
            <w:shd w:fill="002060"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FFFFFF"/>
                <w:sz w:val="22"/>
                <w:u w:val="single"/>
              </w:rPr>
            </w:pPr>
            <w:r>
              <w:rPr>
                <w:rFonts w:ascii="Times New Roman;serif" w:hAnsi="Times New Roman;serif"/>
                <w:b/>
                <w:color w:val="FFFFFF"/>
                <w:sz w:val="22"/>
                <w:u w:val="single"/>
              </w:rPr>
              <w:t>Term Loan Commitment</w:t>
            </w:r>
          </w:p>
        </w:tc>
        <w:tc>
          <w:tcPr>
            <w:tcW w:w="1714" w:type="dxa"/>
            <w:gridSpan w:val="3"/>
            <w:tcBorders>
              <w:top w:val="single" w:sz="4" w:space="0" w:color="000000"/>
              <w:left w:val="single" w:sz="4" w:space="0" w:color="000000"/>
              <w:bottom w:val="single" w:sz="4" w:space="0" w:color="000000"/>
              <w:right w:val="single" w:sz="4" w:space="0" w:color="000000"/>
            </w:tcBorders>
            <w:shd w:fill="002060" w:val="clear"/>
            <w:tcMar>
              <w:top w:w="30" w:type="dxa"/>
              <w:bottom w:w="30" w:type="dxa"/>
            </w:tcMar>
            <w:vAlign w:val="center"/>
          </w:tcPr>
          <w:p>
            <w:pPr>
              <w:pStyle w:val="TableContents"/>
              <w:bidi w:val="0"/>
              <w:spacing w:lineRule="auto" w:line="288" w:before="0" w:after="0"/>
              <w:jc w:val="center"/>
              <w:rPr>
                <w:rFonts w:ascii="Times New Roman;serif" w:hAnsi="Times New Roman;serif"/>
                <w:b/>
                <w:color w:val="FFFFFF"/>
                <w:sz w:val="22"/>
                <w:u w:val="single"/>
              </w:rPr>
            </w:pPr>
            <w:r>
              <w:rPr>
                <w:rFonts w:ascii="Times New Roman;serif" w:hAnsi="Times New Roman;serif"/>
                <w:b/>
                <w:color w:val="FFFFFF"/>
                <w:sz w:val="22"/>
                <w:u w:val="single"/>
              </w:rPr>
              <w:t>Applicable Percentage</w:t>
            </w:r>
          </w:p>
          <w:p>
            <w:pPr>
              <w:pStyle w:val="TableContents"/>
              <w:bidi w:val="0"/>
              <w:spacing w:lineRule="auto" w:line="288" w:before="0" w:after="0"/>
              <w:jc w:val="center"/>
              <w:rPr>
                <w:rFonts w:ascii="Times New Roman;serif" w:hAnsi="Times New Roman;serif"/>
                <w:b/>
                <w:color w:val="FFFFFF"/>
                <w:sz w:val="22"/>
                <w:u w:val="single"/>
              </w:rPr>
            </w:pPr>
            <w:r>
              <w:rPr>
                <w:rFonts w:ascii="Times New Roman;serif" w:hAnsi="Times New Roman;serif"/>
                <w:b/>
                <w:color w:val="FFFFFF"/>
                <w:sz w:val="22"/>
                <w:u w:val="single"/>
              </w:rPr>
              <w:t>(Term Loans)</w:t>
            </w:r>
          </w:p>
        </w:tc>
      </w:tr>
      <w:tr>
        <w:trPr/>
        <w:tc>
          <w:tcPr>
            <w:tcW w:w="108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Bank of America, N.A.</w:t>
            </w:r>
          </w:p>
        </w:tc>
        <w:tc>
          <w:tcPr>
            <w:tcW w:w="1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$115,781,250.00</w:t>
            </w:r>
          </w:p>
        </w:tc>
        <w:tc>
          <w:tcPr>
            <w:tcW w:w="19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$89,062,500.00</w:t>
            </w:r>
          </w:p>
        </w:tc>
        <w:tc>
          <w:tcPr>
            <w:tcW w:w="17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35.625000000%</w:t>
            </w:r>
          </w:p>
        </w:tc>
        <w:tc>
          <w:tcPr>
            <w:tcW w:w="167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$26,718,750.00</w:t>
            </w:r>
          </w:p>
        </w:tc>
        <w:tc>
          <w:tcPr>
            <w:tcW w:w="17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35.625000000%</w:t>
            </w:r>
          </w:p>
        </w:tc>
      </w:tr>
      <w:tr>
        <w:trPr/>
        <w:tc>
          <w:tcPr>
            <w:tcW w:w="108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Citizens Bank, N.A.</w:t>
            </w:r>
          </w:p>
        </w:tc>
        <w:tc>
          <w:tcPr>
            <w:tcW w:w="1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$77,187,500.00</w:t>
            </w:r>
          </w:p>
        </w:tc>
        <w:tc>
          <w:tcPr>
            <w:tcW w:w="19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$59,375,000.00</w:t>
            </w:r>
          </w:p>
        </w:tc>
        <w:tc>
          <w:tcPr>
            <w:tcW w:w="17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23.750000000%</w:t>
            </w:r>
          </w:p>
        </w:tc>
        <w:tc>
          <w:tcPr>
            <w:tcW w:w="167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$17,812,500.00</w:t>
            </w:r>
          </w:p>
        </w:tc>
        <w:tc>
          <w:tcPr>
            <w:tcW w:w="17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23.750000000%</w:t>
            </w:r>
          </w:p>
        </w:tc>
      </w:tr>
      <w:tr>
        <w:trPr/>
        <w:tc>
          <w:tcPr>
            <w:tcW w:w="108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Bank of Montreal</w:t>
            </w:r>
          </w:p>
        </w:tc>
        <w:tc>
          <w:tcPr>
            <w:tcW w:w="1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$36,562,500.00</w:t>
            </w:r>
          </w:p>
        </w:tc>
        <w:tc>
          <w:tcPr>
            <w:tcW w:w="19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$28,125,000.00</w:t>
            </w:r>
          </w:p>
        </w:tc>
        <w:tc>
          <w:tcPr>
            <w:tcW w:w="17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11.250000000%</w:t>
            </w:r>
          </w:p>
        </w:tc>
        <w:tc>
          <w:tcPr>
            <w:tcW w:w="167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$8,437,500.00</w:t>
            </w:r>
          </w:p>
        </w:tc>
        <w:tc>
          <w:tcPr>
            <w:tcW w:w="17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11.250000000%</w:t>
            </w:r>
          </w:p>
        </w:tc>
      </w:tr>
      <w:tr>
        <w:trPr/>
        <w:tc>
          <w:tcPr>
            <w:tcW w:w="108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M&amp;T Bank </w:t>
            </w:r>
          </w:p>
        </w:tc>
        <w:tc>
          <w:tcPr>
            <w:tcW w:w="1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$36,562,500.00</w:t>
            </w:r>
          </w:p>
        </w:tc>
        <w:tc>
          <w:tcPr>
            <w:tcW w:w="19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$28,125,000.00</w:t>
            </w:r>
          </w:p>
        </w:tc>
        <w:tc>
          <w:tcPr>
            <w:tcW w:w="17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11.250000000%</w:t>
            </w:r>
          </w:p>
        </w:tc>
        <w:tc>
          <w:tcPr>
            <w:tcW w:w="167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$8,437,500.00</w:t>
            </w:r>
          </w:p>
        </w:tc>
        <w:tc>
          <w:tcPr>
            <w:tcW w:w="17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11.250000000%</w:t>
            </w:r>
          </w:p>
        </w:tc>
      </w:tr>
      <w:tr>
        <w:trPr/>
        <w:tc>
          <w:tcPr>
            <w:tcW w:w="108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Beacon Bank and Trust</w:t>
            </w:r>
          </w:p>
        </w:tc>
        <w:tc>
          <w:tcPr>
            <w:tcW w:w="1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$29,453,125.00</w:t>
            </w:r>
          </w:p>
        </w:tc>
        <w:tc>
          <w:tcPr>
            <w:tcW w:w="19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$22,656,250.00</w:t>
            </w:r>
          </w:p>
        </w:tc>
        <w:tc>
          <w:tcPr>
            <w:tcW w:w="17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9.062500000%</w:t>
            </w:r>
          </w:p>
        </w:tc>
        <w:tc>
          <w:tcPr>
            <w:tcW w:w="167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$6,796,875.00</w:t>
            </w:r>
          </w:p>
        </w:tc>
        <w:tc>
          <w:tcPr>
            <w:tcW w:w="17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9.062500000%</w:t>
            </w:r>
          </w:p>
        </w:tc>
      </w:tr>
      <w:tr>
        <w:trPr/>
        <w:tc>
          <w:tcPr>
            <w:tcW w:w="108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Eastern Bank</w:t>
            </w:r>
          </w:p>
        </w:tc>
        <w:tc>
          <w:tcPr>
            <w:tcW w:w="1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$29,453,125.00</w:t>
            </w:r>
          </w:p>
        </w:tc>
        <w:tc>
          <w:tcPr>
            <w:tcW w:w="19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$22,656,250.00</w:t>
            </w:r>
          </w:p>
        </w:tc>
        <w:tc>
          <w:tcPr>
            <w:tcW w:w="17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9.062500000%</w:t>
            </w:r>
          </w:p>
        </w:tc>
        <w:tc>
          <w:tcPr>
            <w:tcW w:w="167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$6,796,875.00</w:t>
            </w:r>
          </w:p>
        </w:tc>
        <w:tc>
          <w:tcPr>
            <w:tcW w:w="17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9.062500000%</w:t>
            </w:r>
          </w:p>
        </w:tc>
      </w:tr>
      <w:tr>
        <w:trPr/>
        <w:tc>
          <w:tcPr>
            <w:tcW w:w="108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Total:</w:t>
            </w:r>
          </w:p>
        </w:tc>
        <w:tc>
          <w:tcPr>
            <w:tcW w:w="19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$325,000,000.00</w:t>
            </w:r>
          </w:p>
        </w:tc>
        <w:tc>
          <w:tcPr>
            <w:tcW w:w="199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$250,000,000.00</w:t>
            </w:r>
          </w:p>
        </w:tc>
        <w:tc>
          <w:tcPr>
            <w:tcW w:w="174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100.000000000%</w:t>
            </w:r>
          </w:p>
        </w:tc>
        <w:tc>
          <w:tcPr>
            <w:tcW w:w="167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$75,000,000.00</w:t>
            </w:r>
          </w:p>
        </w:tc>
        <w:tc>
          <w:tcPr>
            <w:tcW w:w="17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100.000000000%</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THE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Paul A. Maleh, certify that:</w:t>
      </w:r>
    </w:p>
    <w:p>
      <w:pPr>
        <w:pStyle w:val="TextBody"/>
        <w:bidi w:val="0"/>
        <w:spacing w:lineRule="auto" w:line="288" w:before="240" w:after="283"/>
        <w:ind w:left="0" w:right="0" w:firstLine="720"/>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CRA International, Inc.;</w:t>
      </w:r>
    </w:p>
    <w:p>
      <w:pPr>
        <w:pStyle w:val="TextBody"/>
        <w:bidi w:val="0"/>
        <w:spacing w:lineRule="auto" w:line="288" w:before="240" w:after="283"/>
        <w:ind w:left="0" w:right="0" w:firstLine="720"/>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firstLine="720"/>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firstLine="720"/>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firstLine="720"/>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45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38"/>
        <w:gridCol w:w="938"/>
        <w:gridCol w:w="133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PAUL A. MALEH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Paul A. Maleh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THE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Eric Nierenberg, certify that:</w:t>
      </w:r>
    </w:p>
    <w:p>
      <w:pPr>
        <w:pStyle w:val="TextBody"/>
        <w:bidi w:val="0"/>
        <w:spacing w:lineRule="auto" w:line="288" w:before="240" w:after="283"/>
        <w:ind w:left="0" w:right="0" w:firstLine="720"/>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CRA International, Inc.;</w:t>
      </w:r>
    </w:p>
    <w:p>
      <w:pPr>
        <w:pStyle w:val="TextBody"/>
        <w:bidi w:val="0"/>
        <w:spacing w:lineRule="auto" w:line="288" w:before="240" w:after="283"/>
        <w:ind w:left="0" w:right="0" w:firstLine="720"/>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firstLine="720"/>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firstLine="720"/>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firstLine="720"/>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752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545"/>
        <w:gridCol w:w="1545"/>
        <w:gridCol w:w="218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ERIC NIERENBERG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Eric Nierenberg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pPr>
      <w:r>
        <w:rPr>
          <w:rFonts w:ascii="Times New Roman;serif" w:hAnsi="Times New Roman;serif"/>
          <w:b/>
          <w:color w:val="000000"/>
          <w:sz w:val="20"/>
        </w:rPr>
        <w:t>18 U.S.C. </w:t>
      </w:r>
      <w:r>
        <w:rPr>
          <w:rFonts w:ascii="Times New Roman;serif" w:hAnsi="Times New Roman;serif"/>
          <w:b w:val="false"/>
          <w:color w:val="000000"/>
          <w:sz w:val="20"/>
        </w:rPr>
        <w:t>§</w:t>
      </w:r>
      <w:r>
        <w:rPr>
          <w:rFonts w:ascii="Times New Roman;serif" w:hAnsi="Times New Roman;serif"/>
          <w:b/>
          <w:color w:val="000000"/>
          <w:sz w:val="20"/>
        </w:rPr>
        <w:t>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CRA International, Inc. (the “Company”) on Form 10-Q for the quarter ended July 4, 2026, as filed with the Securities and Exchange Commission on the date hereof (the “Report”), the undersigned President and Chief Executive Officer of the Company, certifies, to the best knowledge and belief of the signatory, pursuant to 18 U.S.C. §1350, as adopted pursuant to Section 906 of the Sarbanes-Oxley Act of 2002,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3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240" w:after="360"/>
        <w:ind w:left="0" w:right="0" w:firstLine="720"/>
        <w:jc w:val="left"/>
        <w:rPr/>
      </w:pPr>
      <w:r>
        <w:rPr/>
      </w:r>
    </w:p>
    <w:tbl>
      <w:tblPr>
        <w:tblW w:w="3551" w:type="dxa"/>
        <w:jc w:val="left"/>
        <w:tblInd w:w="0" w:type="dxa"/>
        <w:tblLayout w:type="fixed"/>
        <w:tblCellMar>
          <w:top w:w="28" w:type="dxa"/>
          <w:left w:w="28" w:type="dxa"/>
          <w:bottom w:w="28" w:type="dxa"/>
          <w:right w:w="28" w:type="dxa"/>
        </w:tblCellMar>
      </w:tblPr>
      <w:tblGrid>
        <w:gridCol w:w="1153"/>
        <w:gridCol w:w="1011"/>
        <w:gridCol w:w="1015"/>
        <w:gridCol w:w="109"/>
        <w:gridCol w:w="109"/>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A. MALEH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A. Maleh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pPr>
      <w:r>
        <w:rPr>
          <w:rFonts w:ascii="Times New Roman;serif" w:hAnsi="Times New Roman;serif"/>
          <w:b/>
          <w:color w:val="000000"/>
          <w:sz w:val="20"/>
        </w:rPr>
        <w:t>18 U.S.C. </w:t>
      </w:r>
      <w:r>
        <w:rPr>
          <w:rFonts w:ascii="Times New Roman;serif" w:hAnsi="Times New Roman;serif"/>
          <w:b w:val="false"/>
          <w:color w:val="000000"/>
          <w:sz w:val="20"/>
        </w:rPr>
        <w:t>§</w:t>
      </w:r>
      <w:r>
        <w:rPr>
          <w:rFonts w:ascii="Times New Roman;serif" w:hAnsi="Times New Roman;serif"/>
          <w:b/>
          <w:color w:val="000000"/>
          <w:sz w:val="20"/>
        </w:rPr>
        <w:t>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CRA International, Inc. (the “Company”) on Form 10-Q for the quarter ended July 4, 2026, as filed with the Securities and Exchange Commission on the date hereof (the “Report”), the undersigned Executive Vice President, Chief Financial Officer, and Treasurer of the Company, certifies, to the best knowledge and belief of the signatory, pursuant to 18 U.S.C. §1350, as adopted pursuant to Section 906 of the Sarbanes-Oxley Act of 2002,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3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240" w:after="360"/>
        <w:ind w:left="0" w:right="0" w:firstLine="720"/>
        <w:jc w:val="left"/>
        <w:rPr/>
      </w:pPr>
      <w:r>
        <w:rPr/>
      </w:r>
    </w:p>
    <w:tbl>
      <w:tblPr>
        <w:tblW w:w="5621" w:type="dxa"/>
        <w:jc w:val="left"/>
        <w:tblInd w:w="0" w:type="dxa"/>
        <w:tblLayout w:type="fixed"/>
        <w:tblCellMar>
          <w:top w:w="28" w:type="dxa"/>
          <w:left w:w="28" w:type="dxa"/>
          <w:bottom w:w="28" w:type="dxa"/>
          <w:right w:w="28" w:type="dxa"/>
        </w:tblCellMar>
      </w:tblPr>
      <w:tblGrid>
        <w:gridCol w:w="1901"/>
        <w:gridCol w:w="1669"/>
        <w:gridCol w:w="1679"/>
        <w:gridCol w:w="109"/>
        <w:gridCol w:w="109"/>
        <w:gridCol w:w="154"/>
      </w:tblGrid>
      <w:tr>
        <w:trPr/>
        <w:tc>
          <w:tcPr>
            <w:tcW w:w="1901"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ERIC NIERENBERG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Eric Nierenberg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53706/000104746920001076/a2240826zex-3_1.htm" TargetMode="External"/><Relationship Id="rId3" Type="http://schemas.openxmlformats.org/officeDocument/2006/relationships/hyperlink" Target="https://www.sec.gov/Archives/edgar/data/1053706/000110465911003897/a11-4833_1ex3d2.htm" TargetMode="External"/><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image" Target="media/image1.png"/><Relationship Id="rId12" Type="http://schemas.openxmlformats.org/officeDocument/2006/relationships/image" Target="media/image1.png"/><Relationship Id="rId13" Type="http://schemas.openxmlformats.org/officeDocument/2006/relationships/image" Target="media/image1.png"/><Relationship Id="rId14" Type="http://schemas.openxmlformats.org/officeDocument/2006/relationships/image" Target="media/image1.pn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180</Pages>
  <Words>113390</Words>
  <Characters>605224</Characters>
  <CharactersWithSpaces>717897</CharactersWithSpaces>
  <Paragraphs>3563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