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-608330</wp:posOffset>
            </wp:positionV>
            <wp:extent cx="5715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639445</wp:posOffset>
            </wp:positionV>
            <wp:extent cx="7048500" cy="640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6401435"/>
                    </a:xfrm>
                    <a:prstGeom prst="rect">
                      <a:avLst/>
                    </a:prstGeom>
                    <a:noFill/>
                  </pic:spPr>
                </pic:pic>
              </a:graphicData>
            </a:graphic>
          </wp:anchor>
        </w:drawing>
      </w:r>
    </w:p>
    <w:p>
      <w:pPr>
        <w:spacing w:after="0" w:line="1082" w:lineRule="exact"/>
        <w:rPr>
          <w:sz w:val="24"/>
          <w:szCs w:val="24"/>
          <w:color w:val="auto"/>
        </w:rPr>
      </w:pPr>
    </w:p>
    <w:p>
      <w:pPr>
        <w:sectPr>
          <w:pgSz w:w="11900" w:h="16855" w:orient="portrait"/>
          <w:cols w:equalWidth="0" w:num="2">
            <w:col w:w="2320" w:space="340"/>
            <w:col w:w="8420"/>
          </w:cols>
          <w:pgMar w:left="460" w:top="214"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Maleh Paul A</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CLARENDON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CRA INTERNATIONAL,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CRAI</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4"/>
          <w:szCs w:val="24"/>
          <w:color w:val="auto"/>
        </w:rPr>
      </w:pPr>
      <w:r>
        <w:rPr>
          <w:sz w:val="24"/>
          <w:szCs w:val="24"/>
          <w:color w:val="auto"/>
        </w:rPr>
        <w:br w:type="column"/>
      </w:r>
    </w:p>
    <w:p>
      <w:pPr>
        <w:ind w:left="3" w:right="700" w:hanging="3"/>
        <w:spacing w:after="0" w:line="24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2" w:lineRule="exact"/>
        <w:rPr>
          <w:sz w:val="24"/>
          <w:szCs w:val="24"/>
          <w:color w:val="auto"/>
        </w:rPr>
      </w:pPr>
    </w:p>
    <w:p>
      <w:pPr>
        <w:ind w:left="523"/>
        <w:spacing w:after="0"/>
        <w:tabs>
          <w:tab w:leader="none" w:pos="206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3"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23"/>
        <w:spacing w:after="0"/>
        <w:tabs>
          <w:tab w:leader="none" w:pos="206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763"/>
        <w:spacing w:after="0"/>
        <w:rPr>
          <w:sz w:val="20"/>
          <w:szCs w:val="20"/>
          <w:color w:val="auto"/>
        </w:rPr>
      </w:pPr>
      <w:r>
        <w:rPr>
          <w:rFonts w:ascii="Times New Roman" w:cs="Times New Roman" w:eastAsia="Times New Roman" w:hAnsi="Times New Roman"/>
          <w:sz w:val="16"/>
          <w:szCs w:val="16"/>
          <w:color w:val="0000FF"/>
        </w:rPr>
        <w:t>PRESIDENT AND CEO</w:t>
      </w:r>
    </w:p>
    <w:p>
      <w:pPr>
        <w:spacing w:after="0" w:line="275" w:lineRule="exact"/>
        <w:rPr>
          <w:sz w:val="24"/>
          <w:szCs w:val="24"/>
          <w:color w:val="auto"/>
        </w:rPr>
      </w:pPr>
    </w:p>
    <w:p>
      <w:pPr>
        <w:sectPr>
          <w:pgSz w:w="11900" w:h="16855" w:orient="portrait"/>
          <w:cols w:equalWidth="0" w:num="3">
            <w:col w:w="3180" w:space="720"/>
            <w:col w:w="3240" w:space="597"/>
            <w:col w:w="3343"/>
          </w:cols>
          <w:pgMar w:left="460" w:top="214" w:right="359" w:bottom="0" w:gutter="0" w:footer="0" w:header="0"/>
          <w:type w:val="continuous"/>
        </w:sectPr>
      </w:pP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shd w:val="clear" w:color="auto" w:fill="9A9A9A"/>
          </w:tcPr>
          <w:p>
            <w:pPr>
              <w:spacing w:after="0"/>
              <w:rPr>
                <w:sz w:val="3"/>
                <w:szCs w:val="3"/>
                <w:color w:val="auto"/>
              </w:rPr>
            </w:pPr>
          </w:p>
        </w:tc>
        <w:tc>
          <w:tcPr>
            <w:tcW w:w="780" w:type="dxa"/>
            <w:vAlign w:val="bottom"/>
            <w:shd w:val="clear" w:color="auto" w:fill="9A9A9A"/>
          </w:tcPr>
          <w:p>
            <w:pPr>
              <w:spacing w:after="0"/>
              <w:rPr>
                <w:sz w:val="3"/>
                <w:szCs w:val="3"/>
                <w:color w:val="auto"/>
              </w:rPr>
            </w:pPr>
          </w:p>
        </w:tc>
        <w:tc>
          <w:tcPr>
            <w:tcW w:w="960" w:type="dxa"/>
            <w:vAlign w:val="bottom"/>
            <w:shd w:val="clear" w:color="auto" w:fill="9A9A9A"/>
          </w:tcPr>
          <w:p>
            <w:pPr>
              <w:spacing w:after="0"/>
              <w:rPr>
                <w:sz w:val="3"/>
                <w:szCs w:val="3"/>
                <w:color w:val="auto"/>
              </w:rPr>
            </w:pPr>
          </w:p>
        </w:tc>
        <w:tc>
          <w:tcPr>
            <w:tcW w:w="1100" w:type="dxa"/>
            <w:vAlign w:val="bottom"/>
            <w:shd w:val="clear" w:color="auto" w:fill="9A9A9A"/>
          </w:tcPr>
          <w:p>
            <w:pPr>
              <w:spacing w:after="0"/>
              <w:rPr>
                <w:sz w:val="3"/>
                <w:szCs w:val="3"/>
                <w:color w:val="auto"/>
              </w:rPr>
            </w:pPr>
          </w:p>
        </w:tc>
        <w:tc>
          <w:tcPr>
            <w:tcW w:w="100" w:type="dxa"/>
            <w:vAlign w:val="bottom"/>
            <w:shd w:val="clear" w:color="auto" w:fill="9A9A9A"/>
          </w:tcPr>
          <w:p>
            <w:pPr>
              <w:spacing w:after="0"/>
              <w:rPr>
                <w:sz w:val="3"/>
                <w:szCs w:val="3"/>
                <w:color w:val="auto"/>
              </w:rPr>
            </w:pPr>
          </w:p>
        </w:tc>
        <w:tc>
          <w:tcPr>
            <w:tcW w:w="370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9"/>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00" w:type="dxa"/>
            <w:vAlign w:val="bottom"/>
            <w:gridSpan w:val="7"/>
            <w:vMerge w:val="continue"/>
          </w:tcPr>
          <w:p>
            <w:pPr>
              <w:spacing w:after="0"/>
              <w:rPr>
                <w:sz w:val="9"/>
                <w:szCs w:val="9"/>
                <w:color w:val="auto"/>
              </w:rPr>
            </w:pPr>
          </w:p>
        </w:tc>
        <w:tc>
          <w:tcPr>
            <w:tcW w:w="36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780" w:type="dxa"/>
            <w:vAlign w:val="bottom"/>
          </w:tcPr>
          <w:p>
            <w:pPr>
              <w:ind w:left="520"/>
              <w:spacing w:after="0"/>
              <w:rPr>
                <w:sz w:val="20"/>
                <w:szCs w:val="20"/>
                <w:color w:val="auto"/>
              </w:rPr>
            </w:pPr>
            <w:r>
              <w:rPr>
                <w:rFonts w:ascii="Times New Roman" w:cs="Times New Roman" w:eastAsia="Times New Roman" w:hAnsi="Times New Roman"/>
                <w:sz w:val="16"/>
                <w:szCs w:val="16"/>
                <w:color w:val="0000FF"/>
                <w:w w:val="92"/>
              </w:rPr>
              <w:t>MA</w:t>
            </w:r>
          </w:p>
        </w:tc>
        <w:tc>
          <w:tcPr>
            <w:tcW w:w="96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02116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740" w:type="dxa"/>
            <w:vAlign w:val="bottom"/>
            <w:tcBorders>
              <w:top w:val="single" w:sz="8" w:color="EEEEEE"/>
            </w:tcBorders>
            <w:gridSpan w:val="2"/>
            <w:vMerge w:val="restart"/>
          </w:tcPr>
          <w:p>
            <w:pPr>
              <w:ind w:left="520"/>
              <w:spacing w:after="0"/>
              <w:rPr>
                <w:sz w:val="20"/>
                <w:szCs w:val="20"/>
                <w:color w:val="auto"/>
              </w:rPr>
            </w:pPr>
            <w:r>
              <w:rPr>
                <w:rFonts w:ascii="Arial" w:cs="Arial" w:eastAsia="Arial" w:hAnsi="Arial"/>
                <w:sz w:val="13"/>
                <w:szCs w:val="13"/>
                <w:color w:val="auto"/>
              </w:rPr>
              <w:t>(State)</w:t>
            </w:r>
          </w:p>
        </w:tc>
        <w:tc>
          <w:tcPr>
            <w:tcW w:w="11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(Zip)</w:t>
            </w:r>
          </w:p>
        </w:tc>
        <w:tc>
          <w:tcPr>
            <w:tcW w:w="100" w:type="dxa"/>
            <w:vAlign w:val="bottom"/>
            <w:tcBorders>
              <w:top w:val="single" w:sz="8" w:color="EEEEEE"/>
            </w:tcBorders>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auto"/>
              </w:rPr>
              <w:t>Person</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74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3"/>
          </w:tcPr>
          <w:p>
            <w:pPr>
              <w:ind w:left="8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4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40" w:type="dxa"/>
            <w:vAlign w:val="bottom"/>
            <w:gridSpan w:val="3"/>
          </w:tcPr>
          <w:p>
            <w:pPr>
              <w:ind w:left="820"/>
              <w:spacing w:after="0" w:line="125"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76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(Month/Day/Year)  8)</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6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0000FF"/>
              </w:rPr>
              <w:t>111,050</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6"/>
          </w:tcPr>
          <w:p>
            <w:pPr>
              <w:spacing w:after="0"/>
              <w:rPr>
                <w:sz w:val="8"/>
                <w:szCs w:val="8"/>
                <w:color w:val="auto"/>
              </w:rPr>
            </w:pPr>
          </w:p>
        </w:tc>
        <w:tc>
          <w:tcPr>
            <w:tcW w:w="264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56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ind w:right="82"/>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0"/>
                <w:szCs w:val="10"/>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w w:val="99"/>
              </w:rPr>
              <w:t>Expiration Date</w:t>
            </w:r>
          </w:p>
        </w:tc>
        <w:tc>
          <w:tcPr>
            <w:tcW w:w="640" w:type="dxa"/>
            <w:vAlign w:val="bottom"/>
          </w:tcPr>
          <w:p>
            <w:pPr>
              <w:spacing w:after="0"/>
              <w:rPr>
                <w:sz w:val="10"/>
                <w:szCs w:val="10"/>
                <w:color w:val="auto"/>
              </w:rPr>
            </w:pPr>
          </w:p>
        </w:tc>
        <w:tc>
          <w:tcPr>
            <w:tcW w:w="13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ind w:right="82"/>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or Exercise</w:t>
            </w:r>
          </w:p>
        </w:tc>
        <w:tc>
          <w:tcPr>
            <w:tcW w:w="9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0"/>
                <w:szCs w:val="10"/>
                <w:color w:val="auto"/>
              </w:rPr>
            </w:pPr>
          </w:p>
        </w:tc>
        <w:tc>
          <w:tcPr>
            <w:tcW w:w="15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Price of</w:t>
            </w:r>
          </w:p>
        </w:tc>
        <w:tc>
          <w:tcPr>
            <w:tcW w:w="960" w:type="dxa"/>
            <w:vAlign w:val="bottom"/>
          </w:tcPr>
          <w:p>
            <w:pPr>
              <w:spacing w:after="0"/>
              <w:rPr>
                <w:sz w:val="10"/>
                <w:szCs w:val="10"/>
                <w:color w:val="auto"/>
              </w:rPr>
            </w:pPr>
          </w:p>
        </w:tc>
        <w:tc>
          <w:tcPr>
            <w:tcW w:w="11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jc w:val="center"/>
              <w:ind w:right="3"/>
              <w:spacing w:after="0"/>
              <w:rPr>
                <w:sz w:val="20"/>
                <w:szCs w:val="20"/>
                <w:color w:val="auto"/>
              </w:rPr>
            </w:pPr>
            <w:r>
              <w:rPr>
                <w:rFonts w:ascii="Times New Roman" w:cs="Times New Roman" w:eastAsia="Times New Roman" w:hAnsi="Times New Roman"/>
                <w:sz w:val="10"/>
                <w:szCs w:val="10"/>
                <w:color w:val="008000"/>
              </w:rPr>
              <w:t>(1)</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06/12/2026</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25.7592</w:t>
            </w:r>
          </w:p>
        </w:tc>
        <w:tc>
          <w:tcPr>
            <w:tcW w:w="260" w:type="dxa"/>
            <w:vAlign w:val="bottom"/>
          </w:tcPr>
          <w:p>
            <w:pPr>
              <w:spacing w:after="0"/>
              <w:rPr>
                <w:sz w:val="19"/>
                <w:szCs w:val="19"/>
                <w:color w:val="auto"/>
              </w:rPr>
            </w:pPr>
          </w:p>
        </w:tc>
        <w:tc>
          <w:tcPr>
            <w:tcW w:w="860" w:type="dxa"/>
            <w:vAlign w:val="bottom"/>
            <w:gridSpan w:val="2"/>
          </w:tcPr>
          <w:p>
            <w:pPr>
              <w:jc w:val="center"/>
              <w:ind w:right="44"/>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tcPr>
          <w:p>
            <w:pPr>
              <w:jc w:val="center"/>
              <w:ind w:right="25"/>
              <w:spacing w:after="0"/>
              <w:rPr>
                <w:sz w:val="20"/>
                <w:szCs w:val="20"/>
                <w:color w:val="auto"/>
              </w:rPr>
            </w:pPr>
            <w:r>
              <w:rPr>
                <w:rFonts w:ascii="Times New Roman" w:cs="Times New Roman" w:eastAsia="Times New Roman" w:hAnsi="Times New Roman"/>
                <w:sz w:val="10"/>
                <w:szCs w:val="10"/>
                <w:color w:val="008000"/>
              </w:rPr>
              <w:t>(2)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25.7592</w:t>
            </w:r>
          </w:p>
        </w:tc>
        <w:tc>
          <w:tcPr>
            <w:tcW w:w="60" w:type="dxa"/>
            <w:vAlign w:val="bottom"/>
          </w:tcPr>
          <w:p>
            <w:pPr>
              <w:spacing w:after="0"/>
              <w:rPr>
                <w:sz w:val="19"/>
                <w:szCs w:val="19"/>
                <w:color w:val="auto"/>
              </w:rPr>
            </w:pPr>
          </w:p>
        </w:tc>
        <w:tc>
          <w:tcPr>
            <w:tcW w:w="680" w:type="dxa"/>
            <w:vAlign w:val="bottom"/>
          </w:tcPr>
          <w:p>
            <w:pPr>
              <w:jc w:val="center"/>
              <w:ind w:right="62"/>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9"/>
              </w:rPr>
              <w:t>6,825.7592</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jc w:val="center"/>
              <w:ind w:right="1"/>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ind w:right="3"/>
              <w:spacing w:after="0"/>
              <w:rPr>
                <w:sz w:val="20"/>
                <w:szCs w:val="20"/>
                <w:color w:val="auto"/>
              </w:rPr>
            </w:pPr>
            <w:r>
              <w:rPr>
                <w:rFonts w:ascii="Times New Roman" w:cs="Times New Roman" w:eastAsia="Times New Roman" w:hAnsi="Times New Roman"/>
                <w:sz w:val="10"/>
                <w:szCs w:val="10"/>
                <w:color w:val="008000"/>
              </w:rPr>
              <w:t>(1)</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06/12/2026</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5.9067</w:t>
            </w:r>
          </w:p>
        </w:tc>
        <w:tc>
          <w:tcPr>
            <w:tcW w:w="260" w:type="dxa"/>
            <w:vAlign w:val="bottom"/>
          </w:tcPr>
          <w:p>
            <w:pPr>
              <w:spacing w:after="0"/>
              <w:rPr>
                <w:sz w:val="15"/>
                <w:szCs w:val="15"/>
                <w:color w:val="auto"/>
              </w:rPr>
            </w:pPr>
          </w:p>
        </w:tc>
        <w:tc>
          <w:tcPr>
            <w:tcW w:w="860" w:type="dxa"/>
            <w:vAlign w:val="bottom"/>
            <w:gridSpan w:val="2"/>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vMerge w:val="restart"/>
          </w:tcPr>
          <w:p>
            <w:pPr>
              <w:jc w:val="center"/>
              <w:ind w:right="25"/>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tcPr>
          <w:p>
            <w:pPr>
              <w:jc w:val="center"/>
              <w:ind w:right="1"/>
              <w:spacing w:after="0"/>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5.9067</w:t>
            </w:r>
          </w:p>
        </w:tc>
        <w:tc>
          <w:tcPr>
            <w:tcW w:w="60" w:type="dxa"/>
            <w:vAlign w:val="bottom"/>
          </w:tcPr>
          <w:p>
            <w:pPr>
              <w:spacing w:after="0"/>
              <w:rPr>
                <w:sz w:val="15"/>
                <w:szCs w:val="15"/>
                <w:color w:val="auto"/>
              </w:rPr>
            </w:pPr>
          </w:p>
        </w:tc>
        <w:tc>
          <w:tcPr>
            <w:tcW w:w="680" w:type="dxa"/>
            <w:vAlign w:val="bottom"/>
            <w:vMerge w:val="restart"/>
          </w:tcPr>
          <w:p>
            <w:pPr>
              <w:jc w:val="center"/>
              <w:ind w:right="62"/>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1,565.1652</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jc w:val="center"/>
              <w:ind w:right="3"/>
              <w:spacing w:after="0"/>
              <w:rPr>
                <w:sz w:val="20"/>
                <w:szCs w:val="20"/>
                <w:color w:val="auto"/>
              </w:rPr>
            </w:pPr>
            <w:r>
              <w:rPr>
                <w:rFonts w:ascii="Times New Roman" w:cs="Times New Roman" w:eastAsia="Times New Roman" w:hAnsi="Times New Roman"/>
                <w:sz w:val="10"/>
                <w:szCs w:val="10"/>
                <w:color w:val="008000"/>
              </w:rPr>
              <w:t>(1)</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06/12/2026</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10.3682</w:t>
            </w:r>
          </w:p>
        </w:tc>
        <w:tc>
          <w:tcPr>
            <w:tcW w:w="260" w:type="dxa"/>
            <w:vAlign w:val="bottom"/>
          </w:tcPr>
          <w:p>
            <w:pPr>
              <w:spacing w:after="0"/>
              <w:rPr>
                <w:sz w:val="19"/>
                <w:szCs w:val="19"/>
                <w:color w:val="auto"/>
              </w:rPr>
            </w:pPr>
          </w:p>
        </w:tc>
        <w:tc>
          <w:tcPr>
            <w:tcW w:w="860" w:type="dxa"/>
            <w:vAlign w:val="bottom"/>
            <w:gridSpan w:val="2"/>
          </w:tcPr>
          <w:p>
            <w:pPr>
              <w:jc w:val="center"/>
              <w:ind w:right="44"/>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tcPr>
          <w:p>
            <w:pPr>
              <w:jc w:val="center"/>
              <w:ind w:right="25"/>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tcPr>
          <w:p>
            <w:pPr>
              <w:jc w:val="center"/>
              <w:ind w:right="1"/>
              <w:spacing w:after="0"/>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10.3682</w:t>
            </w:r>
          </w:p>
        </w:tc>
        <w:tc>
          <w:tcPr>
            <w:tcW w:w="60" w:type="dxa"/>
            <w:vAlign w:val="bottom"/>
          </w:tcPr>
          <w:p>
            <w:pPr>
              <w:spacing w:after="0"/>
              <w:rPr>
                <w:sz w:val="19"/>
                <w:szCs w:val="19"/>
                <w:color w:val="auto"/>
              </w:rPr>
            </w:pPr>
          </w:p>
        </w:tc>
        <w:tc>
          <w:tcPr>
            <w:tcW w:w="680" w:type="dxa"/>
            <w:vAlign w:val="bottom"/>
          </w:tcPr>
          <w:p>
            <w:pPr>
              <w:jc w:val="center"/>
              <w:ind w:right="62"/>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9"/>
              </w:rPr>
              <w:t>2,747.3801</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jc w:val="center"/>
              <w:ind w:right="1"/>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jc w:val="center"/>
              <w:ind w:right="3"/>
              <w:spacing w:after="0"/>
              <w:rPr>
                <w:sz w:val="20"/>
                <w:szCs w:val="20"/>
                <w:color w:val="auto"/>
              </w:rPr>
            </w:pPr>
            <w:r>
              <w:rPr>
                <w:rFonts w:ascii="Times New Roman" w:cs="Times New Roman" w:eastAsia="Times New Roman" w:hAnsi="Times New Roman"/>
                <w:sz w:val="10"/>
                <w:szCs w:val="10"/>
                <w:color w:val="008000"/>
              </w:rPr>
              <w:t>(1)</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06/12/2026</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10.9697</w:t>
            </w:r>
          </w:p>
        </w:tc>
        <w:tc>
          <w:tcPr>
            <w:tcW w:w="260" w:type="dxa"/>
            <w:vAlign w:val="bottom"/>
          </w:tcPr>
          <w:p>
            <w:pPr>
              <w:spacing w:after="0"/>
              <w:rPr>
                <w:sz w:val="19"/>
                <w:szCs w:val="19"/>
                <w:color w:val="auto"/>
              </w:rPr>
            </w:pPr>
          </w:p>
        </w:tc>
        <w:tc>
          <w:tcPr>
            <w:tcW w:w="860" w:type="dxa"/>
            <w:vAlign w:val="bottom"/>
            <w:gridSpan w:val="2"/>
          </w:tcPr>
          <w:p>
            <w:pPr>
              <w:jc w:val="center"/>
              <w:ind w:right="44"/>
              <w:spacing w:after="0"/>
              <w:rPr>
                <w:sz w:val="20"/>
                <w:szCs w:val="20"/>
                <w:color w:val="auto"/>
              </w:rPr>
            </w:pPr>
            <w:r>
              <w:rPr>
                <w:rFonts w:ascii="Times New Roman" w:cs="Times New Roman" w:eastAsia="Times New Roman" w:hAnsi="Times New Roman"/>
                <w:sz w:val="10"/>
                <w:szCs w:val="10"/>
                <w:color w:val="008000"/>
              </w:rPr>
              <w:t>(5)</w:t>
            </w:r>
          </w:p>
        </w:tc>
        <w:tc>
          <w:tcPr>
            <w:tcW w:w="640" w:type="dxa"/>
            <w:vAlign w:val="bottom"/>
          </w:tcPr>
          <w:p>
            <w:pPr>
              <w:jc w:val="center"/>
              <w:ind w:right="25"/>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tcPr>
          <w:p>
            <w:pPr>
              <w:jc w:val="center"/>
              <w:ind w:right="1"/>
              <w:spacing w:after="0"/>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10.9697</w:t>
            </w:r>
          </w:p>
        </w:tc>
        <w:tc>
          <w:tcPr>
            <w:tcW w:w="60" w:type="dxa"/>
            <w:vAlign w:val="bottom"/>
          </w:tcPr>
          <w:p>
            <w:pPr>
              <w:spacing w:after="0"/>
              <w:rPr>
                <w:sz w:val="19"/>
                <w:szCs w:val="19"/>
                <w:color w:val="auto"/>
              </w:rPr>
            </w:pPr>
          </w:p>
        </w:tc>
        <w:tc>
          <w:tcPr>
            <w:tcW w:w="680" w:type="dxa"/>
            <w:vAlign w:val="bottom"/>
          </w:tcPr>
          <w:p>
            <w:pPr>
              <w:jc w:val="center"/>
              <w:ind w:right="62"/>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9"/>
              </w:rPr>
              <w:t>2,906.7967</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jc w:val="center"/>
              <w:ind w:right="1"/>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jc w:val="center"/>
              <w:ind w:right="3"/>
              <w:spacing w:after="0"/>
              <w:rPr>
                <w:sz w:val="20"/>
                <w:szCs w:val="20"/>
                <w:color w:val="auto"/>
              </w:rPr>
            </w:pPr>
            <w:r>
              <w:rPr>
                <w:rFonts w:ascii="Times New Roman" w:cs="Times New Roman" w:eastAsia="Times New Roman" w:hAnsi="Times New Roman"/>
                <w:sz w:val="10"/>
                <w:szCs w:val="10"/>
                <w:color w:val="008000"/>
              </w:rPr>
              <w:t>(1)</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06/12/2026</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20.4023</w:t>
            </w:r>
          </w:p>
        </w:tc>
        <w:tc>
          <w:tcPr>
            <w:tcW w:w="260" w:type="dxa"/>
            <w:vAlign w:val="bottom"/>
          </w:tcPr>
          <w:p>
            <w:pPr>
              <w:spacing w:after="0"/>
              <w:rPr>
                <w:sz w:val="19"/>
                <w:szCs w:val="19"/>
                <w:color w:val="auto"/>
              </w:rPr>
            </w:pPr>
          </w:p>
        </w:tc>
        <w:tc>
          <w:tcPr>
            <w:tcW w:w="860" w:type="dxa"/>
            <w:vAlign w:val="bottom"/>
            <w:gridSpan w:val="2"/>
          </w:tcPr>
          <w:p>
            <w:pPr>
              <w:jc w:val="center"/>
              <w:ind w:right="44"/>
              <w:spacing w:after="0"/>
              <w:rPr>
                <w:sz w:val="20"/>
                <w:szCs w:val="20"/>
                <w:color w:val="auto"/>
              </w:rPr>
            </w:pPr>
            <w:r>
              <w:rPr>
                <w:rFonts w:ascii="Times New Roman" w:cs="Times New Roman" w:eastAsia="Times New Roman" w:hAnsi="Times New Roman"/>
                <w:sz w:val="10"/>
                <w:szCs w:val="10"/>
                <w:color w:val="008000"/>
              </w:rPr>
              <w:t>(6)</w:t>
            </w:r>
          </w:p>
        </w:tc>
        <w:tc>
          <w:tcPr>
            <w:tcW w:w="640" w:type="dxa"/>
            <w:vAlign w:val="bottom"/>
          </w:tcPr>
          <w:p>
            <w:pPr>
              <w:jc w:val="center"/>
              <w:ind w:right="25"/>
              <w:spacing w:after="0"/>
              <w:rPr>
                <w:sz w:val="20"/>
                <w:szCs w:val="20"/>
                <w:color w:val="auto"/>
              </w:rPr>
            </w:pPr>
            <w:r>
              <w:rPr>
                <w:rFonts w:ascii="Times New Roman" w:cs="Times New Roman" w:eastAsia="Times New Roman" w:hAnsi="Times New Roman"/>
                <w:sz w:val="10"/>
                <w:szCs w:val="10"/>
                <w:color w:val="008000"/>
              </w:rPr>
              <w:t>(6)</w:t>
            </w:r>
          </w:p>
        </w:tc>
        <w:tc>
          <w:tcPr>
            <w:tcW w:w="660" w:type="dxa"/>
            <w:vAlign w:val="bottom"/>
          </w:tcPr>
          <w:p>
            <w:pPr>
              <w:jc w:val="center"/>
              <w:ind w:right="1"/>
              <w:spacing w:after="0"/>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20.4023</w:t>
            </w:r>
          </w:p>
        </w:tc>
        <w:tc>
          <w:tcPr>
            <w:tcW w:w="60" w:type="dxa"/>
            <w:vAlign w:val="bottom"/>
          </w:tcPr>
          <w:p>
            <w:pPr>
              <w:spacing w:after="0"/>
              <w:rPr>
                <w:sz w:val="19"/>
                <w:szCs w:val="19"/>
                <w:color w:val="auto"/>
              </w:rPr>
            </w:pPr>
          </w:p>
        </w:tc>
        <w:tc>
          <w:tcPr>
            <w:tcW w:w="680" w:type="dxa"/>
            <w:vAlign w:val="bottom"/>
          </w:tcPr>
          <w:p>
            <w:pPr>
              <w:jc w:val="center"/>
              <w:ind w:right="62"/>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9"/>
              </w:rPr>
              <w:t>5,406.2476</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jc w:val="center"/>
              <w:ind w:right="1"/>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ind w:right="3"/>
              <w:spacing w:after="0"/>
              <w:rPr>
                <w:sz w:val="20"/>
                <w:szCs w:val="20"/>
                <w:color w:val="auto"/>
              </w:rPr>
            </w:pPr>
            <w:r>
              <w:rPr>
                <w:rFonts w:ascii="Times New Roman" w:cs="Times New Roman" w:eastAsia="Times New Roman" w:hAnsi="Times New Roman"/>
                <w:sz w:val="10"/>
                <w:szCs w:val="10"/>
                <w:color w:val="008000"/>
              </w:rPr>
              <w:t>(1)</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06/12/2026</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12.624</w:t>
            </w:r>
          </w:p>
        </w:tc>
        <w:tc>
          <w:tcPr>
            <w:tcW w:w="260" w:type="dxa"/>
            <w:vAlign w:val="bottom"/>
          </w:tcPr>
          <w:p>
            <w:pPr>
              <w:spacing w:after="0"/>
              <w:rPr>
                <w:sz w:val="15"/>
                <w:szCs w:val="15"/>
                <w:color w:val="auto"/>
              </w:rPr>
            </w:pPr>
          </w:p>
        </w:tc>
        <w:tc>
          <w:tcPr>
            <w:tcW w:w="860" w:type="dxa"/>
            <w:vAlign w:val="bottom"/>
            <w:gridSpan w:val="2"/>
            <w:vMerge w:val="restart"/>
          </w:tcPr>
          <w:p>
            <w:pPr>
              <w:jc w:val="center"/>
              <w:ind w:right="44"/>
              <w:spacing w:after="0"/>
              <w:rPr>
                <w:sz w:val="20"/>
                <w:szCs w:val="20"/>
                <w:color w:val="auto"/>
              </w:rPr>
            </w:pPr>
            <w:r>
              <w:rPr>
                <w:rFonts w:ascii="Times New Roman" w:cs="Times New Roman" w:eastAsia="Times New Roman" w:hAnsi="Times New Roman"/>
                <w:sz w:val="10"/>
                <w:szCs w:val="10"/>
                <w:color w:val="008000"/>
              </w:rPr>
              <w:t>(7)</w:t>
            </w:r>
          </w:p>
        </w:tc>
        <w:tc>
          <w:tcPr>
            <w:tcW w:w="640" w:type="dxa"/>
            <w:vAlign w:val="bottom"/>
            <w:vMerge w:val="restart"/>
          </w:tcPr>
          <w:p>
            <w:pPr>
              <w:jc w:val="center"/>
              <w:ind w:right="25"/>
              <w:spacing w:after="0"/>
              <w:rPr>
                <w:sz w:val="20"/>
                <w:szCs w:val="20"/>
                <w:color w:val="auto"/>
              </w:rPr>
            </w:pPr>
            <w:r>
              <w:rPr>
                <w:rFonts w:ascii="Times New Roman" w:cs="Times New Roman" w:eastAsia="Times New Roman" w:hAnsi="Times New Roman"/>
                <w:sz w:val="10"/>
                <w:szCs w:val="10"/>
                <w:color w:val="008000"/>
              </w:rPr>
              <w:t>(7)</w:t>
            </w:r>
          </w:p>
        </w:tc>
        <w:tc>
          <w:tcPr>
            <w:tcW w:w="660" w:type="dxa"/>
            <w:vAlign w:val="bottom"/>
          </w:tcPr>
          <w:p>
            <w:pPr>
              <w:jc w:val="center"/>
              <w:ind w:right="1"/>
              <w:spacing w:after="0"/>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12.624</w:t>
            </w:r>
          </w:p>
        </w:tc>
        <w:tc>
          <w:tcPr>
            <w:tcW w:w="60" w:type="dxa"/>
            <w:vAlign w:val="bottom"/>
          </w:tcPr>
          <w:p>
            <w:pPr>
              <w:spacing w:after="0"/>
              <w:rPr>
                <w:sz w:val="15"/>
                <w:szCs w:val="15"/>
                <w:color w:val="auto"/>
              </w:rPr>
            </w:pPr>
          </w:p>
        </w:tc>
        <w:tc>
          <w:tcPr>
            <w:tcW w:w="680" w:type="dxa"/>
            <w:vAlign w:val="bottom"/>
            <w:vMerge w:val="restart"/>
          </w:tcPr>
          <w:p>
            <w:pPr>
              <w:jc w:val="center"/>
              <w:ind w:right="62"/>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3,345.1005</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Nonqualified</w:t>
            </w: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ind w:right="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44.87</w:t>
            </w: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center"/>
              <w:ind w:right="24"/>
              <w:spacing w:after="0" w:line="201" w:lineRule="exact"/>
              <w:rPr>
                <w:sz w:val="20"/>
                <w:szCs w:val="20"/>
                <w:color w:val="auto"/>
              </w:rPr>
            </w:pPr>
            <w:r>
              <w:rPr>
                <w:rFonts w:ascii="Times New Roman" w:cs="Times New Roman" w:eastAsia="Times New Roman" w:hAnsi="Times New Roman"/>
                <w:sz w:val="13"/>
                <w:szCs w:val="13"/>
                <w:color w:val="0000FF"/>
                <w:w w:val="93"/>
              </w:rPr>
              <w:t>12/18/2017</w:t>
            </w:r>
            <w:r>
              <w:rPr>
                <w:rFonts w:ascii="Times New Roman" w:cs="Times New Roman" w:eastAsia="Times New Roman" w:hAnsi="Times New Roman"/>
                <w:sz w:val="20"/>
                <w:szCs w:val="20"/>
                <w:color w:val="008000"/>
                <w:w w:val="93"/>
                <w:vertAlign w:val="superscript"/>
              </w:rPr>
              <w:t>(8)</w:t>
            </w:r>
          </w:p>
        </w:tc>
        <w:tc>
          <w:tcPr>
            <w:tcW w:w="640" w:type="dxa"/>
            <w:vAlign w:val="bottom"/>
          </w:tcPr>
          <w:p>
            <w:pPr>
              <w:jc w:val="center"/>
              <w:ind w:right="5"/>
              <w:spacing w:after="0"/>
              <w:rPr>
                <w:sz w:val="20"/>
                <w:szCs w:val="20"/>
                <w:color w:val="auto"/>
              </w:rPr>
            </w:pPr>
            <w:r>
              <w:rPr>
                <w:rFonts w:ascii="Times New Roman" w:cs="Times New Roman" w:eastAsia="Times New Roman" w:hAnsi="Times New Roman"/>
                <w:sz w:val="13"/>
                <w:szCs w:val="13"/>
                <w:color w:val="0000FF"/>
                <w:w w:val="97"/>
              </w:rPr>
              <w:t>12/18/2027</w:t>
            </w:r>
          </w:p>
        </w:tc>
        <w:tc>
          <w:tcPr>
            <w:tcW w:w="660" w:type="dxa"/>
            <w:vAlign w:val="bottom"/>
          </w:tcPr>
          <w:p>
            <w:pPr>
              <w:jc w:val="center"/>
              <w:ind w:right="1"/>
              <w:spacing w:after="0"/>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16,304</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16,304</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0" w:type="dxa"/>
            <w:vAlign w:val="bottom"/>
            <w:gridSpan w:val="2"/>
          </w:tcPr>
          <w:p>
            <w:pPr>
              <w:ind w:left="60"/>
              <w:spacing w:after="0" w:line="75" w:lineRule="exact"/>
              <w:rPr>
                <w:sz w:val="20"/>
                <w:szCs w:val="20"/>
                <w:color w:val="auto"/>
              </w:rPr>
            </w:pPr>
            <w:r>
              <w:rPr>
                <w:rFonts w:ascii="Times New Roman" w:cs="Times New Roman" w:eastAsia="Times New Roman" w:hAnsi="Times New Roman"/>
                <w:sz w:val="8"/>
                <w:szCs w:val="8"/>
                <w:color w:val="0000FF"/>
              </w:rPr>
              <w:t>Option (right</w:t>
            </w: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jc w:val="center"/>
              <w:ind w:right="1"/>
              <w:spacing w:after="0" w:line="75"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Nonqualified</w:t>
            </w: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jc w:val="center"/>
              <w:ind w:right="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47.45</w:t>
            </w: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center"/>
              <w:ind w:right="24"/>
              <w:spacing w:after="0" w:line="201" w:lineRule="exact"/>
              <w:rPr>
                <w:sz w:val="20"/>
                <w:szCs w:val="20"/>
                <w:color w:val="auto"/>
              </w:rPr>
            </w:pPr>
            <w:r>
              <w:rPr>
                <w:rFonts w:ascii="Times New Roman" w:cs="Times New Roman" w:eastAsia="Times New Roman" w:hAnsi="Times New Roman"/>
                <w:sz w:val="13"/>
                <w:szCs w:val="13"/>
                <w:color w:val="0000FF"/>
                <w:w w:val="93"/>
              </w:rPr>
              <w:t>12/06/2018</w:t>
            </w:r>
            <w:r>
              <w:rPr>
                <w:rFonts w:ascii="Times New Roman" w:cs="Times New Roman" w:eastAsia="Times New Roman" w:hAnsi="Times New Roman"/>
                <w:sz w:val="20"/>
                <w:szCs w:val="20"/>
                <w:color w:val="008000"/>
                <w:w w:val="93"/>
                <w:vertAlign w:val="superscript"/>
              </w:rPr>
              <w:t>(8)</w:t>
            </w:r>
          </w:p>
        </w:tc>
        <w:tc>
          <w:tcPr>
            <w:tcW w:w="640" w:type="dxa"/>
            <w:vAlign w:val="bottom"/>
          </w:tcPr>
          <w:p>
            <w:pPr>
              <w:jc w:val="center"/>
              <w:ind w:right="5"/>
              <w:spacing w:after="0"/>
              <w:rPr>
                <w:sz w:val="20"/>
                <w:szCs w:val="20"/>
                <w:color w:val="auto"/>
              </w:rPr>
            </w:pPr>
            <w:r>
              <w:rPr>
                <w:rFonts w:ascii="Times New Roman" w:cs="Times New Roman" w:eastAsia="Times New Roman" w:hAnsi="Times New Roman"/>
                <w:sz w:val="13"/>
                <w:szCs w:val="13"/>
                <w:color w:val="0000FF"/>
                <w:w w:val="97"/>
              </w:rPr>
              <w:t>12/06/2028</w:t>
            </w:r>
          </w:p>
        </w:tc>
        <w:tc>
          <w:tcPr>
            <w:tcW w:w="660" w:type="dxa"/>
            <w:vAlign w:val="bottom"/>
          </w:tcPr>
          <w:p>
            <w:pPr>
              <w:jc w:val="center"/>
              <w:ind w:right="1"/>
              <w:spacing w:after="0"/>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15,173</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15,173</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 w:type="dxa"/>
            <w:vAlign w:val="bottom"/>
            <w:gridSpan w:val="2"/>
          </w:tcPr>
          <w:p>
            <w:pPr>
              <w:ind w:left="60"/>
              <w:spacing w:after="0" w:line="89" w:lineRule="exact"/>
              <w:rPr>
                <w:sz w:val="20"/>
                <w:szCs w:val="20"/>
                <w:color w:val="auto"/>
              </w:rPr>
            </w:pPr>
            <w:r>
              <w:rPr>
                <w:rFonts w:ascii="Times New Roman" w:cs="Times New Roman" w:eastAsia="Times New Roman" w:hAnsi="Times New Roman"/>
                <w:sz w:val="10"/>
                <w:szCs w:val="10"/>
                <w:color w:val="0000FF"/>
              </w:rPr>
              <w:t>Option (right</w:t>
            </w: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jc w:val="center"/>
              <w:ind w:right="1"/>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to 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240" w:hanging="2"/>
        <w:spacing w:after="0" w:line="229"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(&amp;quot;RSU&amp;quot;) represents a contingent right to receive one share of the Issuer's common stock; vested RSUs are payable in the form of cash, shares of the Issuer's common stock or a combination thereof, except as otherwise indicated below. To the extent vested RSUs are paid in shares of the Issuer's common stock, such shares will be delivered to the reporting person as soon as possible after vesting, but in no event later than two and one-half months after the end of the year in which vesting occurs, subject to the collection of withholding taxes. Dividend equivalent rights accrue with respect to unvested RSUs in the form of additional RSUs (&amp;quot;Dividend Units&amp;quot;) when and as dividends are paid on the Issuer's common stock, and Dividend Units vest on the same dates and in the same relative proportions as the RSUs on which they accrue.</w:t>
      </w:r>
    </w:p>
    <w:p>
      <w:pPr>
        <w:spacing w:after="0" w:line="25"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include an aggregate of 25.7592 Dividend Units, vest in four equal annual installments beginning on April 9, 2027.</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include an aggregate of 61.1652 Dividend Units, vest on April 11, 2027.</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include an aggregate of 107.3801 Dividend Units, vest on April 11, 2027.</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include an aggregate of 73.7967 Dividend Units, vest in two equal annual installments beginning on April 29, 2027.</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include an aggregate of 137.2476 Dividend Units, vest in two equal annual installments beginning on April 29, 2027.</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include an aggregate of 51.1005 Dividend Units, vest in three equal annual installments beginning on May 20, 2027.</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Date indicated is date of grant. Option vests in four equal annual installments beginning on the first anniversary of the date of grant.</w:t>
      </w:r>
    </w:p>
    <w:p>
      <w:pPr>
        <w:sectPr>
          <w:pgSz w:w="11900" w:h="16855" w:orient="portrait"/>
          <w:cols w:equalWidth="0" w:num="1">
            <w:col w:w="11080"/>
          </w:cols>
          <w:pgMar w:left="460" w:top="214" w:right="359" w:bottom="0" w:gutter="0" w:footer="0" w:header="0"/>
          <w:type w:val="continuous"/>
        </w:sectPr>
      </w:pPr>
    </w:p>
    <w:p>
      <w:pPr>
        <w:spacing w:after="0" w:line="6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Delia J. Makhlouta,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-4445</wp:posOffset>
            </wp:positionV>
            <wp:extent cx="1340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spacing w:after="0" w:line="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-11430</wp:posOffset>
            </wp:positionV>
            <wp:extent cx="338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8455" cy="8255"/>
                    </a:xfrm>
                    <a:prstGeom prst="rect">
                      <a:avLst/>
                    </a:prstGeom>
                    <a:noFill/>
                  </pic:spPr>
                </pic:pic>
              </a:graphicData>
            </a:graphic>
          </wp:anchor>
        </w:drawing>
      </w:r>
    </w:p>
    <w:p>
      <w:pPr>
        <w:spacing w:after="0" w:line="36"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1440" w:hanging="2"/>
        <w:spacing w:after="0" w:line="429"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0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14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855" w:orient="portrait"/>
          <w:cols w:equalWidth="0" w:num="2">
            <w:col w:w="8700" w:space="100"/>
            <w:col w:w="2280"/>
          </w:cols>
          <w:pgMar w:left="460" w:top="214"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79160" TargetMode="External"/><Relationship Id="rId14" Type="http://schemas.openxmlformats.org/officeDocument/2006/relationships/hyperlink" Target="http://www.sec.gov/cgi-bin/browse-edgar?action=getcompany&amp;CIK=00010537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2026-06-16T17:04:39Z</dcterms:created>
  <dcterms:modified xsi:type="dcterms:W3CDTF">2026-06-16T17:04:39Z</dcterms:modified>
</cp:coreProperties>
</file>