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878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878705"/>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Nierenberg Eric</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4"/>
          </w:tcPr>
          <w:p>
            <w:pPr>
              <w:ind w:left="60"/>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CRA INTERNATIONAL,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CRAI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520" w:type="dxa"/>
            <w:vAlign w:val="bottom"/>
            <w:tcBorders>
              <w:top w:val="single" w:sz="8" w:color="0000EE"/>
            </w:tcBorders>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540" w:type="dxa"/>
            <w:vAlign w:val="bottom"/>
            <w:tcBorders>
              <w:top w:val="single" w:sz="8" w:color="0000EE"/>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3"/>
                <w:szCs w:val="13"/>
                <w:color w:val="auto"/>
              </w:rPr>
            </w:pPr>
          </w:p>
        </w:tc>
        <w:tc>
          <w:tcPr>
            <w:tcW w:w="18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2800" w:type="dxa"/>
            <w:vAlign w:val="bottom"/>
            <w:gridSpan w:val="4"/>
            <w:vMerge w:val="restart"/>
          </w:tcPr>
          <w:p>
            <w:pPr>
              <w:ind w:left="160"/>
              <w:spacing w:after="0" w:line="173" w:lineRule="exact"/>
              <w:rPr>
                <w:sz w:val="20"/>
                <w:szCs w:val="20"/>
                <w:color w:val="auto"/>
              </w:rPr>
            </w:pPr>
            <w:r>
              <w:rPr>
                <w:rFonts w:ascii="Times New Roman" w:cs="Times New Roman" w:eastAsia="Times New Roman" w:hAnsi="Times New Roman"/>
                <w:sz w:val="17"/>
                <w:szCs w:val="17"/>
                <w:color w:val="0000FF"/>
              </w:rPr>
              <w:t>06/12/2026</w:t>
            </w: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800" w:type="dxa"/>
            <w:vAlign w:val="bottom"/>
            <w:gridSpan w:val="4"/>
            <w:vMerge w:val="continue"/>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200 CLARENDON STREET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517"/>
        <w:spacing w:after="0"/>
        <w:rPr>
          <w:sz w:val="20"/>
          <w:szCs w:val="20"/>
          <w:color w:val="auto"/>
        </w:rPr>
      </w:pPr>
      <w:r>
        <w:rPr>
          <w:rFonts w:ascii="Times New Roman" w:cs="Times New Roman" w:eastAsia="Times New Roman" w:hAnsi="Times New Roman"/>
          <w:sz w:val="17"/>
          <w:szCs w:val="17"/>
          <w:color w:val="0000FF"/>
        </w:rPr>
        <w:t>EVP, CFO AND TREASURER</w:t>
      </w:r>
    </w:p>
    <w:p>
      <w:pPr>
        <w:spacing w:after="0" w:line="313" w:lineRule="exact"/>
        <w:rPr>
          <w:sz w:val="20"/>
          <w:szCs w:val="20"/>
          <w:color w:val="auto"/>
        </w:rPr>
      </w:pPr>
    </w:p>
    <w:p>
      <w:pPr>
        <w:sectPr>
          <w:pgSz w:w="11900" w:h="16838" w:orient="portrait"/>
          <w:cols w:equalWidth="0" w:num="2">
            <w:col w:w="7660" w:space="63"/>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700" w:type="dxa"/>
            <w:vAlign w:val="bottom"/>
            <w:gridSpan w:val="8"/>
            <w:vMerge w:val="restart"/>
          </w:tcPr>
          <w:p>
            <w:pPr>
              <w:jc w:val="center"/>
              <w:ind w:right="40"/>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700" w:type="dxa"/>
            <w:vAlign w:val="bottom"/>
            <w:gridSpan w:val="8"/>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02116</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2.8054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ind w:right="135"/>
              <w:spacing w:after="0" w:line="129" w:lineRule="exact"/>
              <w:rPr>
                <w:sz w:val="20"/>
                <w:szCs w:val="20"/>
                <w:color w:val="auto"/>
              </w:rPr>
            </w:pPr>
            <w:r>
              <w:rPr>
                <w:rFonts w:ascii="Times New Roman" w:cs="Times New Roman" w:eastAsia="Times New Roman" w:hAnsi="Times New Roman"/>
                <w:sz w:val="13"/>
                <w:szCs w:val="13"/>
                <w:color w:val="0000FF"/>
              </w:rPr>
              <w:t>06/12/2026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jc w:val="right"/>
              <w:ind w:right="1"/>
              <w:spacing w:after="0" w:line="129" w:lineRule="exact"/>
              <w:rPr>
                <w:sz w:val="20"/>
                <w:szCs w:val="20"/>
                <w:color w:val="auto"/>
              </w:rPr>
            </w:pPr>
            <w:r>
              <w:rPr>
                <w:rFonts w:ascii="Times New Roman" w:cs="Times New Roman" w:eastAsia="Times New Roman" w:hAnsi="Times New Roman"/>
                <w:sz w:val="13"/>
                <w:szCs w:val="13"/>
                <w:color w:val="0000FF"/>
              </w:rPr>
              <w:t>2.8054</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162"/>
              <w:spacing w:after="0" w:line="129" w:lineRule="exact"/>
              <w:rPr>
                <w:sz w:val="20"/>
                <w:szCs w:val="20"/>
                <w:color w:val="auto"/>
              </w:rPr>
            </w:pPr>
            <w:r>
              <w:rPr>
                <w:rFonts w:ascii="Times New Roman" w:cs="Times New Roman" w:eastAsia="Times New Roman" w:hAnsi="Times New Roman"/>
                <w:sz w:val="13"/>
                <w:szCs w:val="13"/>
                <w:color w:val="0000FF"/>
              </w:rPr>
              <w:t>743.3708</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0000FF"/>
              </w:rPr>
              <w:t>3.451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restart"/>
          </w:tcPr>
          <w:p>
            <w:pPr>
              <w:jc w:val="right"/>
              <w:ind w:right="135"/>
              <w:spacing w:after="0" w:line="142" w:lineRule="exact"/>
              <w:rPr>
                <w:sz w:val="20"/>
                <w:szCs w:val="20"/>
                <w:color w:val="auto"/>
              </w:rPr>
            </w:pPr>
            <w:r>
              <w:rPr>
                <w:rFonts w:ascii="Times New Roman" w:cs="Times New Roman" w:eastAsia="Times New Roman" w:hAnsi="Times New Roman"/>
                <w:sz w:val="13"/>
                <w:szCs w:val="13"/>
                <w:color w:val="0000FF"/>
              </w:rPr>
              <w:t>06/12/2026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jc w:val="right"/>
              <w:ind w:right="41"/>
              <w:spacing w:after="0" w:line="142" w:lineRule="exact"/>
              <w:rPr>
                <w:sz w:val="20"/>
                <w:szCs w:val="20"/>
                <w:color w:val="auto"/>
              </w:rPr>
            </w:pPr>
            <w:r>
              <w:rPr>
                <w:rFonts w:ascii="Times New Roman" w:cs="Times New Roman" w:eastAsia="Times New Roman" w:hAnsi="Times New Roman"/>
                <w:sz w:val="13"/>
                <w:szCs w:val="13"/>
                <w:color w:val="0000FF"/>
              </w:rPr>
              <w:t>3.451</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right"/>
              <w:ind w:right="202"/>
              <w:spacing w:after="0" w:line="142" w:lineRule="exact"/>
              <w:rPr>
                <w:sz w:val="20"/>
                <w:szCs w:val="20"/>
                <w:color w:val="auto"/>
              </w:rPr>
            </w:pPr>
            <w:r>
              <w:rPr>
                <w:rFonts w:ascii="Times New Roman" w:cs="Times New Roman" w:eastAsia="Times New Roman" w:hAnsi="Times New Roman"/>
                <w:sz w:val="13"/>
                <w:szCs w:val="13"/>
                <w:color w:val="0000FF"/>
              </w:rPr>
              <w:t>914.451</w:t>
            </w: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-2364740</wp:posOffset>
            </wp:positionV>
            <wp:extent cx="29210" cy="2369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3698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00" w:firstLine="2"/>
        <w:spacing w:after="0" w:line="23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(&amp;quot;RSU&amp;quot;) represents a contingent right to receive one share of the Issuer's common stock; vested RSUs are payable in the form of cash, shares of the Issuer's common stock or a combination thereof, except as otherwise indicated below. To the extent vested RSUs are paid in shares of the Issuer's common stock, such shares will be delivered to the reporting person as soon as possible after vesting, but in no event later than two and one-half months after the end of the year in which vesting occurs, subject to the collection of withholding taxes. Dividend equivalent rights accrue with respect to unvested RSUs in the form of additional RSUs (&amp;quot;Dividend Units&amp;quot;) when and as dividends are paid on the Issuer's common stock, and Dividend Units vest on the same dates and in the same relative proportions as the RSUs on which they accrue.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which include an aggregate of 9.3708 Dividend Units, vest in four equal annual installments beginning on August 4, 2026.</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which include an aggregate of 3.4510 Dividend Units, vest in four equal annual installments beginning on April 9, 2027.</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Delia J. Makhlouta, by power</w:t>
            </w:r>
          </w:p>
        </w:tc>
        <w:tc>
          <w:tcPr>
            <w:tcW w:w="2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06/16/2026</w:t>
            </w:r>
          </w:p>
        </w:tc>
        <w:tc>
          <w:tcPr>
            <w:tcW w:w="0" w:type="dxa"/>
            <w:vAlign w:val="bottom"/>
          </w:tcPr>
          <w:p>
            <w:pPr>
              <w:spacing w:after="0"/>
              <w:rPr>
                <w:sz w:val="1"/>
                <w:szCs w:val="1"/>
                <w:color w:val="auto"/>
              </w:rPr>
            </w:pPr>
          </w:p>
        </w:tc>
      </w:tr>
      <w:tr>
        <w:trPr>
          <w:trHeight w:val="88"/>
        </w:trPr>
        <w:tc>
          <w:tcPr>
            <w:tcW w:w="74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7"/>
              </w:rPr>
              <w:t>of attorney</w:t>
            </w:r>
          </w:p>
        </w:tc>
        <w:tc>
          <w:tcPr>
            <w:tcW w:w="14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740" w:type="dxa"/>
            <w:vAlign w:val="bottom"/>
            <w:tcBorders>
              <w:bottom w:val="single" w:sz="8" w:color="auto"/>
            </w:tcBorders>
            <w:vMerge w:val="continue"/>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74844" TargetMode="External"/><Relationship Id="rId14" Type="http://schemas.openxmlformats.org/officeDocument/2006/relationships/hyperlink" Target="http://www.sec.gov/cgi-bin/browse-edgar?action=getcompany&amp;CIK=00010537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2026-06-16T17:05:42Z</dcterms:created>
  <dcterms:modified xsi:type="dcterms:W3CDTF">2026-06-16T17:05:42Z</dcterms:modified>
</cp:coreProperties>
</file>