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9162026_080955.xml.htm"/>
      <w:bookmarkStart w:id="1" w:name="ksform409162026_08095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Holmes Chad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 CLARENDON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CRA INTERNATIONAL, INC.</w:t>
              </w:r>
            </w:hyperlink>
            <w:r>
              <w:rPr/>
              <w:t xml:space="preserve"> [ </w:t>
            </w:r>
            <w:r>
              <w:rPr>
                <w:rFonts w:ascii="Times;serif" w:hAnsi="Times;serif"/>
                <w:color w:val="0000FF"/>
                <w:sz w:val="24"/>
                <w:shd w:fill="FFFFFF" w:val="clear"/>
              </w:rPr>
              <w:t>CRAI</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AND CHIEF CORP DEV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46,683</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644" w:type="dxa"/>
        <w:jc w:val="left"/>
        <w:tblInd w:w="-7" w:type="dxa"/>
        <w:tblLayout w:type="fixed"/>
        <w:tblCellMar>
          <w:top w:w="60" w:type="dxa"/>
          <w:left w:w="60" w:type="dxa"/>
          <w:bottom w:w="60" w:type="dxa"/>
          <w:right w:w="60" w:type="dxa"/>
        </w:tblCellMar>
      </w:tblPr>
      <w:tblGrid>
        <w:gridCol w:w="1295"/>
        <w:gridCol w:w="861"/>
        <w:gridCol w:w="891"/>
        <w:gridCol w:w="771"/>
        <w:gridCol w:w="591"/>
        <w:gridCol w:w="300"/>
        <w:gridCol w:w="711"/>
        <w:gridCol w:w="276"/>
        <w:gridCol w:w="906"/>
        <w:gridCol w:w="801"/>
        <w:gridCol w:w="891"/>
        <w:gridCol w:w="801"/>
        <w:gridCol w:w="801"/>
        <w:gridCol w:w="1071"/>
        <w:gridCol w:w="831"/>
        <w:gridCol w:w="846"/>
      </w:tblGrid>
      <w:tr>
        <w:trPr>
          <w:tblHeader w:val="true"/>
        </w:trPr>
        <w:tc>
          <w:tcPr>
            <w:tcW w:w="1264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29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0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29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2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1.2616</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1.2616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368.6174</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2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2.2122</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2.2122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646.3844</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2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1.9028</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1.9028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555.9696</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2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3.5378</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3.5378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1,033.6984</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2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2.1902</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2.1902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639.9324</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2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5.443</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5.443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1,590.4244</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2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Nonqualified 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44.87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12/18/2017</w:t>
            </w:r>
            <w:r>
              <w:rPr>
                <w:rFonts w:ascii="Times;serif" w:hAnsi="Times;serif"/>
                <w:color w:val="008000"/>
                <w:position w:val="7"/>
                <w:sz w:val="16"/>
                <w:sz w:val="20"/>
                <w:shd w:fill="FFFFFF" w:val="clear"/>
              </w:rPr>
              <w:t>(8)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12/18/2027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4,076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4,076</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29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Non-qualified stock options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47.45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12/06/2018</w:t>
            </w:r>
            <w:r>
              <w:rPr>
                <w:rFonts w:ascii="Times;serif" w:hAnsi="Times;serif"/>
                <w:color w:val="008000"/>
                <w:position w:val="7"/>
                <w:sz w:val="16"/>
                <w:sz w:val="20"/>
                <w:shd w:fill="FFFFFF" w:val="clear"/>
              </w:rPr>
              <w:t>(8)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12/06/2028</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4,425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4,425</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(&amp;quot;RSU&amp;quot;) represents a contingent right to receive one share of the Issuer's common stock; vested RSUs are payable in the form of cash, shares of the Issuer's common stock or a combination thereof, except as otherwise indicated below. To the extent vested RSUs are paid in shares of the Issuer's common stock, such shares will be delivered to the reporting person as soon as possible after vesting, but in no event later than two and one-half months after the end of the year in which vesting occurs, subject to the collection of withholding taxes. Dividend equivalent rights accrue with respect to unvested RSUs in the form of additional RSUs (&amp;quot;Dividend Units&amp;quot;) when and as dividends are paid on the Issuer's common stock, and Dividend Units vest on the same dates and in the same relative proportions as the RSUs on which they accrue.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RSUs, which include an aggregate of 15.6174 Dividend Units, vest on April 11, 2027.</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RSUs, which include which include an aggregate of 27.3844 Dividend Units, vest on April 11, 2027.</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RSUs, which include an aggregate of 15.9696 Dividend Units, vest in two equal annual installments beginning on April 29, 2027.</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RSUs, which include an aggregate of 29.6984 Dividend Units, vest in two equal annual installments beginning on April 29, 2027.</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RSUs, which include an aggregate of 11.9324 Dividend Units, vest in three equal annual installments beginning on May 20, 2027.</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RSUs, which include an aggregate of 11.4244 Dividend Units, vest in four equal annual installments beginning on April 9, 2027.</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Date indicated is date of grant. Option vests in four equal annual installments beginning on the first anniversary of the date of grant.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Delia J. Makhlouta,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21819" TargetMode="External"/><Relationship Id="rId5" Type="http://schemas.openxmlformats.org/officeDocument/2006/relationships/hyperlink" Target="http://www.sec.gov/cgi-bin/browse-edgar?action=getcompany&amp;CIK=000105370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975</Words>
  <Characters>5134</Characters>
  <CharactersWithSpaces>5952</CharactersWithSpaces>
  <Paragraphs>185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