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62026_080949.xml.htm"/>
      <w:bookmarkStart w:id="1" w:name="ksform409162026_0809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Langan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CRA INTERNATIONAL, INC.</w:t>
              </w:r>
            </w:hyperlink>
            <w:r>
              <w:rPr/>
              <w:t xml:space="preserve"> [ </w:t>
            </w:r>
            <w:r>
              <w:rPr>
                <w:rFonts w:ascii="Times;serif" w:hAnsi="Times;serif"/>
                <w:color w:val="0000FF"/>
                <w:sz w:val="24"/>
                <w:shd w:fill="FFFFFF" w:val="clear"/>
              </w:rPr>
              <w:t>CRAI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1.9165</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1.9165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559.9511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3.1405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917.5915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(&amp;quot;RSU&amp;quot;) represents a contingent right to receive one share of the Issuer's common stock; vested RSUs are payable in the form of cash, shares of the Issuer's common stock or a combination thereof, except as otherwise indicated below. To the extent vested RSUs are paid in shares of the Issuer's common stock, such shares will be delivered to the reporting person as soon as possible after vesting, but in no event later than two and one-half months after the end of the year in which vesting occurs, subject to the collection of withholding taxes. Dividend equivalent rights accrue with respect to unvested RSUs in the form of additional RSUs (&amp;quot;Dividend Units&amp;quot;) when and as dividends are paid on the Issuer's common stock, and Dividend Units vest on the same dates and in the same relative proportions as the RSUs on which they accrue.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which include an aggregate of 8.9511 Dividend Units, vest in three equal annual installments beginning on August 4,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which include an aggregate of 6.5915 Dividend Units, vest in four equal annual installments beginning on April 9,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Executive Vice President and Chief Strategy and Business Transformation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Delia J. Makhlouta,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6000" TargetMode="External"/><Relationship Id="rId5" Type="http://schemas.openxmlformats.org/officeDocument/2006/relationships/hyperlink" Target="http://www.sec.gov/cgi-bin/browse-edgar?action=getcompany&amp;CIK=0001053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791</Words>
  <Characters>4220</Characters>
  <CharactersWithSpaces>4921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