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62026_080930.xml.htm"/>
      <w:bookmarkStart w:id="1" w:name="ksform409162026_0809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Nierenberg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CRA INTERNATIONAL, INC.</w:t>
              </w:r>
            </w:hyperlink>
            <w:r>
              <w:rPr/>
              <w:t xml:space="preserve"> [ </w:t>
            </w:r>
            <w:r>
              <w:rPr>
                <w:rFonts w:ascii="Times;serif" w:hAnsi="Times;serif"/>
                <w:color w:val="0000FF"/>
                <w:sz w:val="24"/>
                <w:shd w:fill="FFFFFF" w:val="clear"/>
              </w:rPr>
              <w:t>CRAI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CFO AND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1.9165</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1.9165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559.9511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3.1405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917.5915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(&amp;quot;RSU&amp;quot;) represents a contingent right to receive one share of the Issuer's common stock; vested RSUs are payable in the form of cash, shares of the Issuer's common stock or a combination thereof, except as otherwise indicated below. To the extent vested RSUs are paid in shares of the Issuer's common stock, such shares will be delivered to the reporting person as soon as possible after vesting, but in no event later than two and one-half months after the end of the year in which vesting occurs, subject to the collection of withholding taxes. Dividend equivalent rights accrue with respect to unvested RSUs in the form of additional RSUs (&amp;quot;Dividend Units&amp;quot;) when and as dividends are paid on the Issuer's common stock, and Dividend Units vest on the same dates and in the same relative proportions as the RSUs on which they accrue.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which include an aggregate of 8.9511 Dividend Units, vest in three equal annual installments beginning on August 4,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which include an aggregate of 6.5915 Dividend Units, vest in four equal annual installments beginning on April 9,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Delia J. Makhlouta,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4844" TargetMode="External"/><Relationship Id="rId5" Type="http://schemas.openxmlformats.org/officeDocument/2006/relationships/hyperlink" Target="http://www.sec.gov/cgi-bin/browse-edgar?action=getcompany&amp;CIK=0001053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782</Words>
  <Characters>4154</Characters>
  <CharactersWithSpaces>4848</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