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12026_090843.xml.htm"/>
      <w:bookmarkStart w:id="1" w:name="ksform408112026_0908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CONCANNON WILLIAM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CLARENDON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CRA INTERNATIONAL, INC.</w:t>
              </w:r>
            </w:hyperlink>
            <w:r>
              <w:rPr/>
              <w:t xml:space="preserve"> [ </w:t>
            </w:r>
            <w:r>
              <w:rPr>
                <w:rFonts w:ascii="Times;serif" w:hAnsi="Times;serif"/>
                <w:color w:val="0000FF"/>
                <w:sz w:val="24"/>
                <w:shd w:fill="FFFFFF" w:val="clear"/>
              </w:rPr>
              <w:t>CRAI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15,595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retired from the Issuer's board of directors effective July 16, 2026, and is therefore no longer subject to the filing requirements under Section 16 of the Securities Exchange Act of 1934, as amended.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Delia J. Makhlouta,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0864" TargetMode="External"/><Relationship Id="rId5" Type="http://schemas.openxmlformats.org/officeDocument/2006/relationships/hyperlink" Target="http://www.sec.gov/cgi-bin/browse-edgar?action=getcompany&amp;CIK=0001053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594</Words>
  <Characters>3226</Characters>
  <CharactersWithSpaces>3758</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